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Documento de trabajo interno — no se entrega</w:t>
      </w:r>
    </w:p>
    <w:p>
      <w:pPr>
        <w:spacing w:line="480" w:lineRule="auto"/>
        <w:jc w:val="center"/>
      </w:pPr>
      <w:r>
        <w:rPr>
          <w:rFonts w:ascii="Times New Roman" w:hAnsi="Times New Roman"/>
          <w:b w:val="0"/>
          <w:i/>
          <w:sz w:val="24"/>
        </w:rPr>
        <w:t>Tablero de entregas y estado de los documentos</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Documento de trabajo interno — no se entrega</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before="200" w:after="80"/>
      </w:pPr>
      <w:r>
        <w:rPr>
          <w:rFonts w:ascii="Times New Roman" w:hAnsi="Times New Roman"/>
          <w:b/>
          <w:color w:val="2E5A87"/>
          <w:sz w:val="26"/>
        </w:rPr>
        <w:t>1. Lo primero: lo que está vencido</w:t>
      </w:r>
    </w:p>
    <w:p>
      <w:pPr>
        <w:spacing w:after="120"/>
      </w:pPr>
      <w:r>
        <w:rPr>
          <w:rFonts w:ascii="Times New Roman" w:hAnsi="Times New Roman"/>
          <w:b/>
          <w:sz w:val="24"/>
        </w:rPr>
        <w:t>1.1 Antecedentes investigativos — DED300, valía el 20 %, vencía el 1 de agosto</w:t>
      </w:r>
    </w:p>
    <w:p>
      <w:pPr>
        <w:spacing w:after="120"/>
      </w:pPr>
      <w:r>
        <w:rPr>
          <w:rFonts w:ascii="Times New Roman" w:hAnsi="Times New Roman"/>
          <w:b w:val="0"/>
          <w:sz w:val="24"/>
        </w:rPr>
        <w:t>El documento está escrito desde el 4 de julio y la matriz que lo acompaña quedó verificada el 6 de agosto. Lo que no consta es que lo hayas subido: el 6 de agosto dijiste que lo habías frenado para revisar a mano si los enlaces existían, si abrían y si estaban en español. Esa revisión ya está hecha y el resultado está en la matriz cotejada que va con este paquete. Hoy es 7 de agosto: la entrega lleva seis días de retraso.</w:t>
      </w:r>
    </w:p>
    <w:p>
      <w:pPr>
        <w:spacing w:after="120"/>
      </w:pPr>
      <w:r>
        <w:rPr>
          <w:rFonts w:ascii="Times New Roman" w:hAnsi="Times New Roman"/>
          <w:b w:val="0"/>
          <w:color w:val="CC0000"/>
          <w:sz w:val="24"/>
        </w:rPr>
        <w:t>〔TU VOZ: confirmarme una sola cosa — ¿la subiste o no? Si no, ¿la plataforma todavía te deja subirla o hay que escribirle a Gledys? De la respuesta depende si esto es un trámite de diez minutos o una gestión con la docente.〕</w:t>
      </w:r>
    </w:p>
    <w:p>
      <w:pPr>
        <w:spacing w:after="120"/>
      </w:pPr>
      <w:r>
        <w:rPr>
          <w:rFonts w:ascii="Times New Roman" w:hAnsi="Times New Roman"/>
          <w:b/>
          <w:sz w:val="24"/>
        </w:rPr>
        <w:t>1.2 Lo que hay que preguntarle a Gledys esta semana</w:t>
      </w:r>
    </w:p>
    <w:p>
      <w:pPr>
        <w:spacing w:after="120"/>
      </w:pPr>
      <w:r>
        <w:rPr>
          <w:rFonts w:ascii="Times New Roman" w:hAnsi="Times New Roman"/>
          <w:b w:val="0"/>
          <w:sz w:val="24"/>
        </w:rPr>
        <w:t>Hay dos calendarios distintos para el mismo curso y no coinciden. El plan de evaluación oficial de DED300, el documento en Word que ella misma firmó como docente, fija cinco entregas del 20 % cada una: 27 de junio, 1 de agosto, 5 de septiembre, 21 de octubre y 24 de octubre. En la tutoría grupal del 3 de agosto ella dio otras tres fechas: 30 de agosto la matriz de coherencia, 30 de septiembre la matriz de antecedentes y 25 de octubre el primer capítulo. No son las mismas fechas ni los mismos productos. Puede ser que las de la tutoría reemplacen a las del plan, o que unas sean del curso y otras de la dirección de tesis, que son dos roles distintos que ella ocupa a la vez. Nadie lo ha dicho en voz alta.</w:t>
      </w:r>
    </w:p>
    <w:p>
      <w:pPr>
        <w:spacing w:after="120"/>
      </w:pPr>
      <w:r>
        <w:rPr>
          <w:rFonts w:ascii="Times New Roman" w:hAnsi="Times New Roman"/>
          <w:b w:val="0"/>
          <w:color w:val="CC0000"/>
          <w:sz w:val="24"/>
        </w:rPr>
        <w:t>〔TU VOZ: lleva esta pregunta a la tutoría grupal del sábado 8 de agosto, a las 7:30. Textual: «Doctora, quiero confirmar el calendario. El plan de evaluación del curso marca entregas el 5 de septiembre, el 21 de octubre y el 24 de octubre; en la tutoría usted nos dio el 30 de agosto, el 30 de septiembre y el 25 de octubre. ¿Cuáles rigen para la nota del curso y cuáles son de la tesis?» Es una pregunta de proceso, no de contenido: acá ella tiene la última palabra y conviene despejarlo por escrito.〕</w:t>
      </w:r>
    </w:p>
    <w:p>
      <w:pPr>
        <w:spacing w:before="200" w:after="80"/>
      </w:pPr>
      <w:r>
        <w:rPr>
          <w:rFonts w:ascii="Times New Roman" w:hAnsi="Times New Roman"/>
          <w:b/>
          <w:color w:val="2E5A87"/>
          <w:sz w:val="26"/>
        </w:rPr>
        <w:t>2. Calendario hasta octubre</w:t>
      </w:r>
    </w:p>
    <w:p>
      <w:pPr>
        <w:spacing w:after="120"/>
      </w:pPr>
      <w:r>
        <w:rPr>
          <w:rFonts w:ascii="Times New Roman" w:hAnsi="Times New Roman"/>
          <w:b/>
          <w:sz w:val="24"/>
        </w:rPr>
        <w:t>2.1 Esta semana</w:t>
      </w:r>
    </w:p>
    <w:p>
      <w:pPr>
        <w:spacing w:after="120"/>
      </w:pPr>
      <w:r>
        <w:rPr>
          <w:rFonts w:ascii="Times New Roman" w:hAnsi="Times New Roman"/>
          <w:b w:val="0"/>
          <w:sz w:val="24"/>
        </w:rPr>
        <w:t>Sábado 8 de agosto, 7:30 a 8:30 a. m.: tutoría grupal con Gledys. A las 9:00 del mismo día, Sincronía III de DED310 con la doctora Perozo. La sincronía es dos días antes del cuestionario: lo que ella enfatice ahí es la mejor pista de lo que va a preguntar. Anota lo que repita.</w:t>
      </w:r>
    </w:p>
    <w:p>
      <w:pPr>
        <w:spacing w:after="120"/>
      </w:pPr>
      <w:r>
        <w:rPr>
          <w:rFonts w:ascii="Times New Roman" w:hAnsi="Times New Roman"/>
          <w:b w:val="0"/>
          <w:sz w:val="24"/>
        </w:rPr>
        <w:t>Lunes 10 de agosto: cuestionario en línea de DED310, vale el 25 %. La guía de estudio ya está en tus manos desde el 6 de agosto, con el cuadro comparativo de los cinco modelos de Flórez, veinticinco datos duros y veinte preguntas probables con su respuesta.</w:t>
      </w:r>
    </w:p>
    <w:p>
      <w:pPr>
        <w:spacing w:after="120"/>
      </w:pPr>
      <w:r>
        <w:rPr>
          <w:rFonts w:ascii="Times New Roman" w:hAnsi="Times New Roman"/>
          <w:b w:val="0"/>
          <w:color w:val="CC0000"/>
          <w:sz w:val="24"/>
        </w:rPr>
        <w:t>〔TU VOZ: sigue sin respuesta algo que te pregunté y que cambia cómo se estudia: ¿el cuestionario tiene tiempo límite? ¿Es de un solo intento? Si es cronometrado, conviene tener el cuadro de Flórez impreso al lado en vez de confiar en la memoria.〕</w:t>
      </w:r>
    </w:p>
    <w:p>
      <w:pPr>
        <w:spacing w:after="120"/>
      </w:pPr>
      <w:r>
        <w:rPr>
          <w:rFonts w:ascii="Times New Roman" w:hAnsi="Times New Roman"/>
          <w:b/>
          <w:sz w:val="24"/>
        </w:rPr>
        <w:t>2.2 Agosto</w:t>
      </w:r>
    </w:p>
    <w:p>
      <w:pPr>
        <w:spacing w:after="120"/>
      </w:pPr>
      <w:r>
        <w:rPr>
          <w:rFonts w:ascii="Times New Roman" w:hAnsi="Times New Roman"/>
          <w:b w:val="0"/>
          <w:sz w:val="24"/>
        </w:rPr>
        <w:t>Sábado 15 de agosto: Sincronía IV de DED310. El mismo día hay encuentro sincrónico de DED300.</w:t>
      </w:r>
    </w:p>
    <w:p>
      <w:pPr>
        <w:spacing w:after="120"/>
      </w:pPr>
      <w:r>
        <w:rPr>
          <w:rFonts w:ascii="Times New Roman" w:hAnsi="Times New Roman"/>
          <w:b w:val="0"/>
          <w:sz w:val="24"/>
        </w:rPr>
        <w:t>Martes 18 de agosto: debate «tradiciones didácticas en acción», DED310, 25 %. Es en grupo, con los mismos seis compañeros de la infografía.</w:t>
      </w:r>
    </w:p>
    <w:p>
      <w:pPr>
        <w:spacing w:after="120"/>
      </w:pPr>
      <w:r>
        <w:rPr>
          <w:rFonts w:ascii="Times New Roman" w:hAnsi="Times New Roman"/>
          <w:b w:val="0"/>
          <w:color w:val="CC0000"/>
          <w:sz w:val="24"/>
        </w:rPr>
        <w:t>〔TU VOZ: pregunta en el grupo qué tradición le toca defender a cada uno y avísame apenas lo sepas. Sin saber qué te asignaron no se puede preparar el argumento, y este vale un cuarto de la nota del curso.〕</w:t>
      </w:r>
    </w:p>
    <w:p>
      <w:pPr>
        <w:spacing w:after="120"/>
      </w:pPr>
      <w:r>
        <w:rPr>
          <w:rFonts w:ascii="Times New Roman" w:hAnsi="Times New Roman"/>
          <w:b w:val="0"/>
          <w:sz w:val="24"/>
        </w:rPr>
        <w:t>Viernes 28 de agosto: infografía sobre la historia de la didáctica, DED310, 15 %, también en grupo. El mismo día vence el foro de cierre, 10 %.</w:t>
      </w:r>
    </w:p>
    <w:p>
      <w:pPr>
        <w:spacing w:after="120"/>
      </w:pPr>
      <w:r>
        <w:rPr>
          <w:rFonts w:ascii="Times New Roman" w:hAnsi="Times New Roman"/>
          <w:b w:val="0"/>
          <w:sz w:val="24"/>
        </w:rPr>
        <w:t>Domingo 30 de agosto: matriz de coherencia del tema, para Gledys. Ya está construida y en el formato exacto de ella, tema, problema, título, pregunta, propósito y la tabla de cinco columnas. Le faltan tres datos que solo puedes dar tú y que están marcados en rojo en el documento.</w:t>
      </w:r>
    </w:p>
    <w:p>
      <w:pPr>
        <w:spacing w:after="120"/>
      </w:pPr>
      <w:r>
        <w:rPr>
          <w:rFonts w:ascii="Times New Roman" w:hAnsi="Times New Roman"/>
          <w:b/>
          <w:sz w:val="24"/>
        </w:rPr>
        <w:t>2.3 Septiembre y octubre</w:t>
      </w:r>
    </w:p>
    <w:p>
      <w:pPr>
        <w:spacing w:after="120"/>
      </w:pPr>
      <w:r>
        <w:rPr>
          <w:rFonts w:ascii="Times New Roman" w:hAnsi="Times New Roman"/>
          <w:b w:val="0"/>
          <w:sz w:val="24"/>
        </w:rPr>
        <w:t>Sábado 5 de septiembre: pertinencia y justificación, DED300, 20 %, según el plan de evaluación oficial. El contenido ya existe dentro del anteproyecto narrativo; es trabajo de extraer y ajustar, no de escribir desde cero.</w:t>
      </w:r>
    </w:p>
    <w:p>
      <w:pPr>
        <w:spacing w:after="120"/>
      </w:pPr>
      <w:r>
        <w:rPr>
          <w:rFonts w:ascii="Times New Roman" w:hAnsi="Times New Roman"/>
          <w:b w:val="0"/>
          <w:sz w:val="24"/>
        </w:rPr>
        <w:t>Miércoles 30 de septiembre: matriz de antecedentes para Gledys. Mínimo veinticinco tesis doctorales publicadas entre 2020 y 2025, ordenadas de lo global a lo local. Esta es la brecha más grande que tienes hoy y la explico aparte, en el punto 4.</w:t>
      </w:r>
    </w:p>
    <w:p>
      <w:pPr>
        <w:spacing w:after="120"/>
      </w:pPr>
      <w:r>
        <w:rPr>
          <w:rFonts w:ascii="Times New Roman" w:hAnsi="Times New Roman"/>
          <w:b w:val="0"/>
          <w:sz w:val="24"/>
        </w:rPr>
        <w:t>Sábado 10 de octubre: encuentro sincrónico de DED300.</w:t>
      </w:r>
    </w:p>
    <w:p>
      <w:pPr>
        <w:spacing w:after="120"/>
      </w:pPr>
      <w:r>
        <w:rPr>
          <w:rFonts w:ascii="Times New Roman" w:hAnsi="Times New Roman"/>
          <w:b w:val="0"/>
          <w:sz w:val="24"/>
        </w:rPr>
        <w:t>Miércoles 21 de octubre: socialización de avances en formato ponencia, DED300, 20 %.</w:t>
      </w:r>
    </w:p>
    <w:p>
      <w:pPr>
        <w:spacing w:after="120"/>
      </w:pPr>
      <w:r>
        <w:rPr>
          <w:rFonts w:ascii="Times New Roman" w:hAnsi="Times New Roman"/>
          <w:b w:val="0"/>
          <w:sz w:val="24"/>
        </w:rPr>
        <w:t>Sábado 24 de octubre: planteamiento del problema, versión final, DED300, 20 %.</w:t>
      </w:r>
    </w:p>
    <w:p>
      <w:pPr>
        <w:spacing w:after="120"/>
      </w:pPr>
      <w:r>
        <w:rPr>
          <w:rFonts w:ascii="Times New Roman" w:hAnsi="Times New Roman"/>
          <w:b w:val="0"/>
          <w:sz w:val="24"/>
        </w:rPr>
        <w:t>Domingo 25 de octubre: primer capítulo de la tesis para Gledys, «Contextualización del problema e indagaciones preliminares».</w:t>
      </w:r>
    </w:p>
    <w:p>
      <w:pPr>
        <w:spacing w:after="120"/>
      </w:pPr>
      <w:r>
        <w:rPr>
          <w:rFonts w:ascii="Times New Roman" w:hAnsi="Times New Roman"/>
          <w:b/>
          <w:sz w:val="24"/>
        </w:rPr>
        <w:t>2.4 Lo que no tiene fecha pero se vence solo</w:t>
      </w:r>
    </w:p>
    <w:p>
      <w:pPr>
        <w:spacing w:after="120"/>
      </w:pPr>
      <w:r>
        <w:rPr>
          <w:rFonts w:ascii="Times New Roman" w:hAnsi="Times New Roman"/>
          <w:b w:val="0"/>
          <w:sz w:val="24"/>
        </w:rPr>
        <w:t>El artículo de revisión de doce a dieciocho páginas en APA 7 no lo califica Gledys, pero es requisito de candidatura y tiene que salir del estado del arte. El nivel B1 de inglés, la ponencia, la pasantía y los perfiles de CvLAC y ORCID son los cuellos de botella reales de titulación en este programa: son los que atrasan a la gente, no el marco teórico. Ninguno de los cinco depende de que la tesis esté terminada, y todos se pueden ir moviendo en paralelo desde ya.</w:t>
      </w:r>
    </w:p>
    <w:p>
      <w:pPr>
        <w:spacing w:before="200" w:after="80"/>
      </w:pPr>
      <w:r>
        <w:rPr>
          <w:rFonts w:ascii="Times New Roman" w:hAnsi="Times New Roman"/>
          <w:b/>
          <w:color w:val="2E5A87"/>
          <w:sz w:val="26"/>
        </w:rPr>
        <w:t>3. Los documentos que tienes hoy, y cuál es la versión buena de cada uno</w:t>
      </w:r>
    </w:p>
    <w:p>
      <w:pPr>
        <w:spacing w:after="120"/>
      </w:pPr>
      <w:r>
        <w:rPr>
          <w:rFonts w:ascii="Times New Roman" w:hAnsi="Times New Roman"/>
          <w:b w:val="0"/>
          <w:sz w:val="24"/>
        </w:rPr>
        <w:t>Hay muchas versiones dando vueltas porque el diseño cambió dos veces: primero de socio-crítico con investigación-acción a hermenéutico-crítico comparativo, en julio, y después a investigación narrativa, cuando Gledys lo pidió el 3 de agosto. Todo lo anterior al 3 de agosto quedó desactualizado en su parte metodológica. Esta es la lista de lo vigente.</w:t>
      </w:r>
    </w:p>
    <w:p>
      <w:pPr>
        <w:spacing w:after="120"/>
      </w:pPr>
      <w:r>
        <w:rPr>
          <w:rFonts w:ascii="Times New Roman" w:hAnsi="Times New Roman"/>
          <w:b/>
          <w:sz w:val="24"/>
        </w:rPr>
        <w:t>3.1 El anteproyecto: anteproyecto-narrativo-dorca-UTE.docx, del 3 de agosto. Es el documento madre. Once secciones, formato UTE con membrete y APA 7, con el título nuevo que incorpora los relatos, los cuatro objetivos específicos reformulados y la metodología rehecha entera para el diseño narrativo. Incluye la corrección del dato del ICFES que estaba mal en la versión anterior.</w:t>
      </w:r>
    </w:p>
    <w:p>
      <w:pPr>
        <w:spacing w:after="120"/>
      </w:pPr>
      <w:r>
        <w:rPr>
          <w:rFonts w:ascii="Times New Roman" w:hAnsi="Times New Roman"/>
          <w:b/>
          <w:sz w:val="24"/>
        </w:rPr>
        <w:t>3.2 Los antecedentes: antecedentes-narrativo-dorca-UTE.docx, del 6 de agosto. Es la versión más reciente de todas.</w:t>
      </w:r>
    </w:p>
    <w:p>
      <w:pPr>
        <w:spacing w:after="120"/>
      </w:pPr>
      <w:r>
        <w:rPr>
          <w:rFonts w:ascii="Times New Roman" w:hAnsi="Times New Roman"/>
          <w:b/>
          <w:sz w:val="24"/>
        </w:rPr>
        <w:t>3.3 El estado del arte metodológico: estado-del-arte-metodologia-dorca-UTE.docx, del 4 de agosto. Trae la búsqueda real ejecutada con sus números verdaderos, doscientos cuarenta y ocho registros recuperados, doscientos cuarenta y cuatro únicos, doscientos treinta y siete con DOI, treinta y siete pertinentes. Ahí está el hallazgo que sostiene tu vacío: la búsqueda de vivencias socioemocionales y dificultades de aprendizaje devuelve ochocientos setenta y cinco trabajos, y la de investigación narrativa con relatos de vida en educación inclusiva devuelve veintiséis. Tu vacío deja de ser «no encontré nada», que es atacable en una defensa, y pasa a ser una desproporción medida.</w:t>
      </w:r>
    </w:p>
    <w:p>
      <w:pPr>
        <w:spacing w:after="120"/>
      </w:pPr>
      <w:r>
        <w:rPr>
          <w:rFonts w:ascii="Times New Roman" w:hAnsi="Times New Roman"/>
          <w:b/>
          <w:sz w:val="24"/>
        </w:rPr>
        <w:t>3.4 La matriz de coherencia: matriz-coherencia-dorca-UTE.docx, del 3 de agosto. Es la entrega del 30 de agosto, en el formato de nueve columnas de Gledys.</w:t>
      </w:r>
    </w:p>
    <w:p>
      <w:pPr>
        <w:spacing w:after="120"/>
      </w:pPr>
      <w:r>
        <w:rPr>
          <w:rFonts w:ascii="Times New Roman" w:hAnsi="Times New Roman"/>
          <w:b/>
          <w:sz w:val="24"/>
        </w:rPr>
        <w:t>3.5 La matriz de antecedentes: matriz-antecedentes-dorca-COTEJADA-2026-08-07.xlsx y matriz-antecedentes-FORMATO-ASESORA-dorca-2026-08-07.xlsx, ambas de hoy. Son las dos caras del mismo trabajo: la primera con todas las columnas de control, la segunda en el formato de nueve columnas que pide la asesora. Reemplazan a todas las versiones anteriores por la razón que explico en el punto 5.</w:t>
      </w:r>
    </w:p>
    <w:p>
      <w:pPr>
        <w:spacing w:after="120"/>
      </w:pPr>
      <w:r>
        <w:rPr>
          <w:rFonts w:ascii="Times New Roman" w:hAnsi="Times New Roman"/>
          <w:b/>
          <w:sz w:val="24"/>
        </w:rPr>
        <w:t>3.6 La matriz de tesis y libros: matriz-TESIS-Y-LIBROS-formato-asesora-dorca-2026-08-06.xlsx. Cuarenta documentos que no son artículos sino tesis y libros, con cuatro trabajos de Córdoba, uno de ellos hecho en Cereté.</w:t>
      </w:r>
    </w:p>
    <w:p>
      <w:pPr>
        <w:spacing w:after="120"/>
      </w:pPr>
      <w:r>
        <w:rPr>
          <w:rFonts w:ascii="Times New Roman" w:hAnsi="Times New Roman"/>
          <w:b/>
          <w:sz w:val="24"/>
        </w:rPr>
        <w:t>3.7 El embudo: embudo-dorca-UTE.docx, del 3 de agosto. Los números reales del rastreo por escalas: veinticinco a escala internacional, siete en América Latina, cinco en Colombia, cero en Córdoba, cero con el cruce completo. Un cero documentado es un resultado, no una falta.</w:t>
      </w:r>
    </w:p>
    <w:p>
      <w:pPr>
        <w:spacing w:after="120"/>
      </w:pPr>
      <w:r>
        <w:rPr>
          <w:rFonts w:ascii="Times New Roman" w:hAnsi="Times New Roman"/>
          <w:b/>
          <w:sz w:val="24"/>
        </w:rPr>
        <w:t>3.8 La defensa: defensa-dorca-UTE.docx, del 3 de agosto. Trece preguntas de jurado con respuesta corta y fundamento.</w:t>
      </w:r>
    </w:p>
    <w:p>
      <w:pPr>
        <w:spacing w:after="120"/>
      </w:pPr>
      <w:r>
        <w:rPr>
          <w:rFonts w:ascii="Times New Roman" w:hAnsi="Times New Roman"/>
          <w:b/>
          <w:sz w:val="24"/>
        </w:rPr>
        <w:t>3.9 Las recomendaciones: recomendaciones-dorca-UTE.docx, del 3 de agosto. Ordenadas por origen, que es lo que importa cuando dos asesores dicen cosas distintas: lo que pide Gledys, lo que es estándar del programa y lo que es criterio mío.</w:t>
      </w:r>
    </w:p>
    <w:p>
      <w:pPr>
        <w:spacing w:after="120"/>
      </w:pPr>
      <w:r>
        <w:rPr>
          <w:rFonts w:ascii="Times New Roman" w:hAnsi="Times New Roman"/>
          <w:b/>
          <w:sz w:val="24"/>
        </w:rPr>
        <w:t>3.10 La guía del cuestionario: guia-estudio-cuestionario-DED310-10ago-dorca.docx, del 6 de agosto. Material de estudio personal, sin membrete a propósito, porque no se entrega.</w:t>
      </w:r>
    </w:p>
    <w:p>
      <w:pPr>
        <w:spacing w:before="200" w:after="80"/>
      </w:pPr>
      <w:r>
        <w:rPr>
          <w:rFonts w:ascii="Times New Roman" w:hAnsi="Times New Roman"/>
          <w:b/>
          <w:color w:val="2E5A87"/>
          <w:sz w:val="26"/>
        </w:rPr>
        <w:t>4. Las brechas reales</w:t>
      </w:r>
    </w:p>
    <w:p>
      <w:pPr>
        <w:spacing w:after="120"/>
      </w:pPr>
      <w:r>
        <w:rPr>
          <w:rFonts w:ascii="Times New Roman" w:hAnsi="Times New Roman"/>
          <w:b w:val="0"/>
          <w:sz w:val="24"/>
        </w:rPr>
        <w:t>Estas son las cosas que hoy no cumplen lo que se pidió. No son detalles de forma.</w:t>
      </w:r>
    </w:p>
    <w:p>
      <w:pPr>
        <w:spacing w:after="120"/>
      </w:pPr>
      <w:r>
        <w:rPr>
          <w:rFonts w:ascii="Times New Roman" w:hAnsi="Times New Roman"/>
          <w:b/>
          <w:sz w:val="24"/>
        </w:rPr>
        <w:t>4.1 Gledys pide veinticinco tesis doctorales y lo que tienes son artículos</w:t>
      </w:r>
    </w:p>
    <w:p>
      <w:pPr>
        <w:spacing w:after="120"/>
      </w:pPr>
      <w:r>
        <w:rPr>
          <w:rFonts w:ascii="Times New Roman" w:hAnsi="Times New Roman"/>
          <w:b w:val="0"/>
          <w:sz w:val="24"/>
        </w:rPr>
        <w:t>La matriz de treinta y siete registros está compuesta, en sus treinta y siete filas, por artículos de revista. Ninguno es una tesis. Eso explica por qué en la columna que su plantilla llama «Universidad» aparecen nombres de revistas: la matriz se armó buscando por DOI, y las tesis doctorales casi no tienen DOI, viven en repositorios institucionales y en Dialnet, que no se pueden barrer de forma automática. La matriz de tesis y libros del 6 de agosto avanza en esa dirección, con cuarenta documentos, pero solo dos están confirmadas como doctorales; once son de maestría y veintisiete no se pudieron confirmar porque los repositorios bloquean la consulta automática. Faltan veintitrés tesis doctorales confirmadas para llegar a lo que ella pide el 30 de septiembre.</w:t>
      </w:r>
    </w:p>
    <w:p>
      <w:pPr>
        <w:spacing w:after="120"/>
      </w:pPr>
      <w:r>
        <w:rPr>
          <w:rFonts w:ascii="Times New Roman" w:hAnsi="Times New Roman"/>
          <w:b w:val="0"/>
          <w:sz w:val="24"/>
        </w:rPr>
        <w:t>Hay un ángulo de defensa, y es honesto: que el cruce entre inclusión y socioemocionalidad esté trabajado casi solo en maestría y casi nada en doctorado es, en sí mismo, parte del vacío que justifica tu tesis. Esa frase ya está redactada en la hoja de sustentación de esa matriz. Pero es un argumento, no un sustituto de las veinticinco.</w:t>
      </w:r>
    </w:p>
    <w:p>
      <w:pPr>
        <w:spacing w:after="120"/>
      </w:pPr>
      <w:r>
        <w:rPr>
          <w:rFonts w:ascii="Times New Roman" w:hAnsi="Times New Roman"/>
          <w:b/>
          <w:sz w:val="24"/>
        </w:rPr>
        <w:t>4.2 Hay tres Córdobas y las bases no las distinguen</w:t>
      </w:r>
    </w:p>
    <w:p>
      <w:pPr>
        <w:spacing w:after="120"/>
      </w:pPr>
      <w:r>
        <w:rPr>
          <w:rFonts w:ascii="Times New Roman" w:hAnsi="Times New Roman"/>
          <w:b w:val="0"/>
          <w:sz w:val="24"/>
        </w:rPr>
        <w:t>Al armar la matriz de tesis aparecieron dos trabajos que decían Córdoba y no eran de acá: uno era de Córdoba, Argentina, y otro de la Universidad de Córdoba, en España. Los dos ya salieron. Lo dejo escrito porque va a volver a pasar: cada vez que una fuente diga Córdoba hay que verificar de cuál se trata antes de darla por local.</w:t>
      </w:r>
    </w:p>
    <w:p>
      <w:pPr>
        <w:spacing w:after="120"/>
      </w:pPr>
      <w:r>
        <w:rPr>
          <w:rFonts w:ascii="Times New Roman" w:hAnsi="Times New Roman"/>
          <w:b/>
          <w:sz w:val="24"/>
        </w:rPr>
        <w:t>4.3 El registro está mezclado en los documentos ya entregados</w:t>
      </w:r>
    </w:p>
    <w:p>
      <w:pPr>
        <w:spacing w:after="120"/>
      </w:pPr>
      <w:r>
        <w:rPr>
          <w:rFonts w:ascii="Times New Roman" w:hAnsi="Times New Roman"/>
          <w:b w:val="0"/>
          <w:sz w:val="24"/>
        </w:rPr>
        <w:t xml:space="preserve">Desde el 4 de agosto nos tuteamos, pero los documentos que se armaron antes tienen marcadores </w:t>
      </w:r>
      <w:r>
        <w:rPr>
          <w:rFonts w:ascii="Times New Roman" w:hAnsi="Times New Roman"/>
          <w:b w:val="0"/>
          <w:color w:val="CC0000"/>
          <w:sz w:val="24"/>
        </w:rPr>
        <w:t>〔TU VOZ〕</w:t>
      </w:r>
      <w:r>
        <w:rPr>
          <w:rFonts w:ascii="Times New Roman" w:hAnsi="Times New Roman"/>
          <w:b w:val="0"/>
          <w:sz w:val="24"/>
        </w:rPr>
        <w:t xml:space="preserve"> y sustentaciones escritas de usted, y algunas versiones viejas arrastran formas que no corresponden al español que se habla en la costa. Hay que unificarlo todo a tuteo en una sola pasada: el anteproyecto narrativo, el estado del arte, el embudo, la defensa, las recomendaciones y la matriz de coherencia. Es cosmético, pero un jurado que lee seis documentos con tres registros distintos nota que no los escribió la misma mano.</w:t>
      </w:r>
    </w:p>
    <w:p>
      <w:pPr>
        <w:spacing w:after="120"/>
      </w:pPr>
      <w:r>
        <w:rPr>
          <w:rFonts w:ascii="Times New Roman" w:hAnsi="Times New Roman"/>
          <w:b/>
          <w:sz w:val="24"/>
        </w:rPr>
        <w:t>4.4 Lo que sigue trabado esperando un dato tuyo</w:t>
      </w:r>
    </w:p>
    <w:p>
      <w:pPr>
        <w:spacing w:after="120"/>
      </w:pPr>
      <w:r>
        <w:rPr>
          <w:rFonts w:ascii="Times New Roman" w:hAnsi="Times New Roman"/>
          <w:b w:val="0"/>
          <w:sz w:val="24"/>
        </w:rPr>
        <w:t>La institución urbana de Montería no está definida, y sin ella el contraste semirural y urbano queda enunciado pero no anclado. No está fijado cuántos relatos van por contexto. Falta el número y la fecha oficial de la resolución del DUA que salió a fin de julio, que mencionaste pero no llegó. Y siguen sin acceso los dos audios de tu compañera de la institución, la que ya se doctoró: el permiso de Drive no sincronizó.</w:t>
      </w:r>
    </w:p>
    <w:p>
      <w:pPr>
        <w:spacing w:after="120"/>
      </w:pPr>
      <w:r>
        <w:rPr>
          <w:rFonts w:ascii="Times New Roman" w:hAnsi="Times New Roman"/>
          <w:b w:val="0"/>
          <w:color w:val="CC0000"/>
          <w:sz w:val="24"/>
        </w:rPr>
        <w:t>〔TU VOZ: de estos cuatro, el que más pesa es la institución de Montería, porque de ahí depende un capítulo entero. Los otros tres son de un mensaje cada uno.〕</w:t>
      </w:r>
    </w:p>
    <w:p>
      <w:pPr>
        <w:spacing w:before="200" w:after="80"/>
      </w:pPr>
      <w:r>
        <w:rPr>
          <w:rFonts w:ascii="Times New Roman" w:hAnsi="Times New Roman"/>
          <w:b/>
          <w:color w:val="2E5A87"/>
          <w:sz w:val="26"/>
        </w:rPr>
        <w:t>5. Qué se corrigió hoy y por qué importa</w:t>
      </w:r>
    </w:p>
    <w:p>
      <w:pPr>
        <w:spacing w:after="120"/>
      </w:pPr>
      <w:r>
        <w:rPr>
          <w:rFonts w:ascii="Times New Roman" w:hAnsi="Times New Roman"/>
          <w:b w:val="0"/>
          <w:sz w:val="24"/>
        </w:rPr>
        <w:t>El 6 de agosto verifiqué la matriz de antecedentes y te dije que los treinta y siete DOI existían, que los treinta y siete estaban en español y que treinta y siete eran de acceso abierto. Todo eso era cierto. Tú desconfiaste igual y dijiste que creías que había errores. Tenías razón, y el problema era de fondo: yo había verificado que los DOI existieran, que no es lo mismo que verificar que la ficha esté bien.</w:t>
      </w:r>
    </w:p>
    <w:p>
      <w:pPr>
        <w:spacing w:after="120"/>
      </w:pPr>
      <w:r>
        <w:rPr>
          <w:rFonts w:ascii="Times New Roman" w:hAnsi="Times New Roman"/>
          <w:b w:val="0"/>
          <w:sz w:val="24"/>
        </w:rPr>
        <w:t>Hoy hice el cotejo que faltaba, campo por campo, autores, revista y año, uno por uno contra Crossref. De las treinta y siete filas, treinta y una tenían algo mal. Diecisiete traían los autores incompletos, con tres nombres cuando el trabajo tiene cuatro, cinco o seis. Once tenían el nombre de la revista mal escrito o incompleto, y una lo tenía en blanco. Dos traían el nombre de una universidad puesto en el lugar del autor, que es basura que arrastra la base de datos. Está todo corregido, y cada fila lleva anotado qué cambió.</w:t>
      </w:r>
    </w:p>
    <w:p>
      <w:pPr>
        <w:spacing w:after="120"/>
      </w:pPr>
      <w:r>
        <w:rPr>
          <w:rFonts w:ascii="Times New Roman" w:hAnsi="Times New Roman"/>
          <w:b w:val="0"/>
          <w:sz w:val="24"/>
        </w:rPr>
        <w:t>Queda una cosa que ninguna base de datos resuelve y que sí te toca a ti. Crossref parte mal los apellidos compuestos del español: a una autora que firma «María de los Ángeles Ruiz» la puede registrar con el apellido «Ángeles Ruiz». Dejé marcadas en rojo las filas donde eso puede estar pasando. Esas hay que abrirlas en PDF y leer cómo firman los autores antes de citarlas en APA. Es el único cotejo que vale de verdad.</w:t>
      </w:r>
    </w:p>
    <w:p>
      <w:pPr>
        <w:spacing w:before="200" w:after="80"/>
      </w:pPr>
      <w:r>
        <w:rPr>
          <w:rFonts w:ascii="Times New Roman" w:hAnsi="Times New Roman"/>
          <w:b/>
          <w:color w:val="2E5A87"/>
          <w:sz w:val="26"/>
        </w:rPr>
        <w:t>6. Lo que falta para cerrar esta revisión</w:t>
      </w:r>
    </w:p>
    <w:p>
      <w:pPr>
        <w:spacing w:after="120"/>
      </w:pPr>
      <w:r>
        <w:rPr>
          <w:rFonts w:ascii="Times New Roman" w:hAnsi="Times New Roman"/>
          <w:b w:val="0"/>
          <w:sz w:val="24"/>
        </w:rPr>
        <w:t>Mandaste los Lineamientos de tesis doctoral de la UTE y pediste que todo se revisara contra ellos. El archivo no se pudo descargar: Telegram lo aceptó pero después respondió, siete veces seguidas, que el archivo no está disponible. No es un problema del PDF ni de cómo lo enviaste.</w:t>
      </w:r>
    </w:p>
    <w:p>
      <w:pPr>
        <w:spacing w:after="120"/>
      </w:pPr>
      <w:r>
        <w:rPr>
          <w:rFonts w:ascii="Times New Roman" w:hAnsi="Times New Roman"/>
          <w:b w:val="0"/>
          <w:sz w:val="24"/>
        </w:rPr>
        <w:t>Sin ese documento no se puede hacer la parte principal de lo que pediste. Los lineamientos son los que fijan la estructura de capítulos que exige la universidad, la extensión, el sistema de citación, los requisitos de aprobación y los criterios con los que evalúa el comité. Nada de eso se puede deducir de los otros documentos del curso. Cuando el archivo llegue, la revisión se hace en este orden: leerlos completos, cruzar cada criterio contra cada documento tuyo en una tabla de cumple o no cumple, corregir solo lo que tenga brecha real, y devolverte el paquete con la lista de qué cambió en cada archivo y por qué.</w:t>
      </w:r>
    </w:p>
    <w:p>
      <w:pPr>
        <w:spacing w:after="120"/>
      </w:pPr>
      <w:r>
        <w:rPr>
          <w:rFonts w:ascii="Times New Roman" w:hAnsi="Times New Roman"/>
          <w:b w:val="0"/>
          <w:sz w:val="24"/>
        </w:rPr>
        <w:t>Reenvía el archivo cuando puedas. Si vuelve a fallar, súbelo a Drive con permiso de lectura y pásame el enlace.</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