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Documento de apoyo — Recomendaciones</w:t>
      </w:r>
    </w:p>
    <w:p>
      <w:pPr>
        <w:spacing w:line="480" w:lineRule="auto"/>
        <w:jc w:val="center"/>
      </w:pPr>
      <w:r>
        <w:rPr>
          <w:rFonts w:ascii="Times New Roman" w:hAnsi="Times New Roman"/>
          <w:b w:val="0"/>
          <w:i/>
          <w:sz w:val="24"/>
        </w:rPr>
        <w:t>Recomendaciones consolidadas: tu asesora, el estándar del programa y el criterio del director</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7 de agosto de 2026</w:t>
      </w:r>
    </w:p>
    <w:p>
      <w:r>
        <w:br w:type="page"/>
      </w:r>
    </w:p>
    <w:p>
      <w:pPr>
        <w:spacing w:line="480" w:lineRule="auto"/>
        <w:jc w:val="center"/>
      </w:pPr>
      <w:r>
        <w:rPr>
          <w:rFonts w:ascii="Times New Roman" w:hAnsi="Times New Roman"/>
          <w:b/>
          <w:i w:val="0"/>
          <w:sz w:val="24"/>
        </w:rPr>
        <w:t>Documento de apoyo — Recomendaciones</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after="120"/>
      </w:pPr>
      <w:r>
        <w:rPr>
          <w:rFonts w:ascii="Times New Roman" w:hAnsi="Times New Roman"/>
          <w:b w:val="0"/>
          <w:sz w:val="24"/>
        </w:rPr>
        <w:t>Recomendaciones consolidadas</w:t>
      </w:r>
    </w:p>
    <w:p>
      <w:pPr>
        <w:spacing w:after="120"/>
      </w:pPr>
      <w:r>
        <w:rPr>
          <w:rFonts w:ascii="Times New Roman" w:hAnsi="Times New Roman"/>
          <w:b w:val="0"/>
          <w:sz w:val="24"/>
        </w:rPr>
        <w:t>Lo que dijo su asesora, lo que exige el estándar del programa y mi criterio como director. Preparado el 3 de agosto de 2026.</w:t>
      </w:r>
    </w:p>
    <w:p>
      <w:pPr>
        <w:spacing w:before="200" w:after="80"/>
      </w:pPr>
      <w:r>
        <w:rPr>
          <w:rFonts w:ascii="Times New Roman" w:hAnsi="Times New Roman"/>
          <w:b/>
          <w:color w:val="2E5A87"/>
          <w:sz w:val="26"/>
        </w:rPr>
        <w:t>Cómo leer este documento</w:t>
      </w:r>
    </w:p>
    <w:p>
      <w:pPr>
        <w:spacing w:after="120"/>
      </w:pPr>
      <w:r>
        <w:rPr>
          <w:rFonts w:ascii="Times New Roman" w:hAnsi="Times New Roman"/>
          <w:b w:val="0"/>
          <w:sz w:val="24"/>
        </w:rPr>
        <w:t>Está organizado por origen, para que en cada punto sepa quién lo pide y con qué peso. Lo que viene de su asesora se cumple salvo que tenga un argumento para discutirlo. Lo que viene del estándar del programa se cumple porque es la vara con la que evalúan. Lo que viene de mi criterio es discutible y así está marcado: son recomendaciones, no instrucciones.</w:t>
      </w:r>
    </w:p>
    <w:p>
      <w:pPr>
        <w:spacing w:before="200" w:after="80"/>
      </w:pPr>
      <w:r>
        <w:rPr>
          <w:rFonts w:ascii="Times New Roman" w:hAnsi="Times New Roman"/>
          <w:b/>
          <w:color w:val="2E5A87"/>
          <w:sz w:val="26"/>
        </w:rPr>
        <w:t>Parte 1 — Lo que pidió su asesora, y hay que cumplir</w:t>
      </w:r>
    </w:p>
    <w:p>
      <w:pPr>
        <w:spacing w:after="120"/>
      </w:pPr>
      <w:r>
        <w:rPr>
          <w:rFonts w:ascii="Times New Roman" w:hAnsi="Times New Roman"/>
          <w:b/>
          <w:sz w:val="24"/>
        </w:rPr>
        <w:t>1.1 Acotar. Su pregunta traía tres intenciones a la vez —describir prácticas, comprender vivencias y transformar—. Un jurado doctoral castiga la dispersión más que la ambición. Ya está resuelto en la reformulación.</w:t>
      </w:r>
    </w:p>
    <w:p>
      <w:pPr>
        <w:spacing w:after="120"/>
      </w:pPr>
      <w:r>
        <w:rPr>
          <w:rFonts w:ascii="Times New Roman" w:hAnsi="Times New Roman"/>
          <w:b/>
          <w:sz w:val="24"/>
        </w:rPr>
        <w:t>1.2 Coherencia entre el verbo y el paradigma. No se puede declarar un paradigma socio-crítico y que el objetivo general diga solo comprender. El verbo define el paradigma. Resuelto: el general comprende, y los específicos caracterizan, interpretan, establecen y derivan.</w:t>
      </w:r>
    </w:p>
    <w:p>
      <w:pPr>
        <w:spacing w:after="120"/>
      </w:pPr>
      <w:r>
        <w:rPr>
          <w:rFonts w:ascii="Times New Roman" w:hAnsi="Times New Roman"/>
          <w:b/>
          <w:sz w:val="24"/>
        </w:rPr>
        <w:t>1.3 No implementar. Prometer implementación y evaluación de impacto en menos de tres años es la causa más frecuente de tesis que no cierran. Resuelto: la ruta culmina en lineamientos.</w:t>
      </w:r>
    </w:p>
    <w:p>
      <w:pPr>
        <w:spacing w:after="120"/>
      </w:pPr>
      <w:r>
        <w:rPr>
          <w:rFonts w:ascii="Times New Roman" w:hAnsi="Times New Roman"/>
          <w:b/>
          <w:sz w:val="24"/>
        </w:rPr>
        <w:t>1.4 Revisión documental obligatoria. Decreto 1421 de 2017 y su reglamentación reciente, PEI, manual de convivencia, ruta de atención, planes de desarrollo y corpus normativo socioemocional. Es una de las tres técnicas del diseño.</w:t>
      </w:r>
    </w:p>
    <w:p>
      <w:pPr>
        <w:spacing w:after="120"/>
      </w:pPr>
      <w:r>
        <w:rPr>
          <w:rFonts w:ascii="Times New Roman" w:hAnsi="Times New Roman"/>
          <w:b/>
          <w:sz w:val="24"/>
        </w:rPr>
        <w:t>1.5 Investigación narrativa como diseño. Es el cambio de fondo de la última asesoría, y es correcto: si el acceso al fenómeno es el relato, el diseño es narrativo. Resuelto en el anteproyecto.</w:t>
      </w:r>
    </w:p>
    <w:p>
      <w:pPr>
        <w:spacing w:after="120"/>
      </w:pPr>
      <w:r>
        <w:rPr>
          <w:rFonts w:ascii="Times New Roman" w:hAnsi="Times New Roman"/>
          <w:b/>
          <w:sz w:val="24"/>
        </w:rPr>
        <w:t>1.6 Larrosa como fundamento, no como antecedente. Es de 1995 y queda fuera del rango 2020-2025 de la matriz. Va en la fundamentación metodológica. Su asesora lo indicó expresamente.</w:t>
      </w:r>
    </w:p>
    <w:p>
      <w:pPr>
        <w:spacing w:after="120"/>
      </w:pPr>
      <w:r>
        <w:rPr>
          <w:rFonts w:ascii="Times New Roman" w:hAnsi="Times New Roman"/>
          <w:b/>
          <w:sz w:val="24"/>
        </w:rPr>
        <w:t>1.7 Las tres fechas. Matriz de coherencia el 30 de agosto; matriz de antecedentes con mínimo veinticinco tesis doctorales el 30 de septiembre; documento final, que es su primer capítulo, el 25 de octubre.</w:t>
      </w:r>
    </w:p>
    <w:p>
      <w:pPr>
        <w:spacing w:after="120"/>
      </w:pPr>
      <w:r>
        <w:rPr>
          <w:rFonts w:ascii="Times New Roman" w:hAnsi="Times New Roman"/>
          <w:b/>
          <w:sz w:val="24"/>
        </w:rPr>
        <w:t>1.8 El artículo de revisión. No lo califica ella, pero es requisito para presentar la candidatura. Debe salir del estado del arte.</w:t>
      </w:r>
    </w:p>
    <w:p>
      <w:pPr>
        <w:spacing w:before="200" w:after="80"/>
      </w:pPr>
      <w:r>
        <w:rPr>
          <w:rFonts w:ascii="Times New Roman" w:hAnsi="Times New Roman"/>
          <w:b/>
          <w:color w:val="2E5A87"/>
          <w:sz w:val="26"/>
        </w:rPr>
        <w:t>Parte 2 — El estándar del programa, que conviene adoptar aunque todavía no te lo hayan pedido</w:t>
      </w:r>
    </w:p>
    <w:p>
      <w:pPr>
        <w:spacing w:after="120"/>
      </w:pPr>
      <w:r>
        <w:rPr>
          <w:rFonts w:ascii="Times New Roman" w:hAnsi="Times New Roman"/>
          <w:b w:val="0"/>
          <w:sz w:val="24"/>
        </w:rPr>
        <w:t>Estos criterios aparecen en las devoluciones que el programa hace a los trabajos de estado del arte. Adoptarlos ahora le evita rehacer después.</w:t>
      </w:r>
    </w:p>
    <w:p>
      <w:pPr>
        <w:spacing w:after="120"/>
      </w:pPr>
      <w:r>
        <w:rPr>
          <w:rFonts w:ascii="Times New Roman" w:hAnsi="Times New Roman"/>
          <w:b/>
          <w:sz w:val="24"/>
        </w:rPr>
        <w:t>2.1 Metodología de búsqueda replicable. Hay que declarar bases consultadas, descriptores exactos, filtros, fechas de consulta y criterios de inclusión y exclusión. Sin eso, el apartado pierde carácter científico. Ya se lo dejé documentado.</w:t>
      </w:r>
    </w:p>
    <w:p>
      <w:pPr>
        <w:spacing w:after="120"/>
      </w:pPr>
      <w:r>
        <w:rPr>
          <w:rFonts w:ascii="Times New Roman" w:hAnsi="Times New Roman"/>
          <w:b/>
          <w:sz w:val="24"/>
        </w:rPr>
        <w:t>2.2 Diagrama de flujo. Cuántos registros se recuperaron, cuántos se descartaron en cada filtro y por qué, hasta llegar a los incluidos. Sin ese flujo, el número final de textos queda sin justificar y el jurado lo cuestiona.</w:t>
      </w:r>
    </w:p>
    <w:p>
      <w:pPr>
        <w:spacing w:after="120"/>
      </w:pPr>
      <w:r>
        <w:rPr>
          <w:rFonts w:ascii="Times New Roman" w:hAnsi="Times New Roman"/>
          <w:b/>
          <w:sz w:val="24"/>
        </w:rPr>
        <w:t>2.3 Distinguir bases indexadas de literatura gris. Y si el tema devuelve suficientes resultados en bases indexadas, la literatura gris no hace falta. Es su caso.</w:t>
      </w:r>
    </w:p>
    <w:p>
      <w:pPr>
        <w:spacing w:after="120"/>
      </w:pPr>
      <w:r>
        <w:rPr>
          <w:rFonts w:ascii="Times New Roman" w:hAnsi="Times New Roman"/>
          <w:b/>
          <w:sz w:val="24"/>
        </w:rPr>
        <w:t>2.4 Presentar hallazgos antes que el vacío. Primero qué hay, cómo está escrito, de qué tipo y de qué forma, referenciado. De ahí emerge lo que no hay. El vacío no se declara: se deduce.</w:t>
      </w:r>
    </w:p>
    <w:p>
      <w:pPr>
        <w:spacing w:after="120"/>
      </w:pPr>
      <w:r>
        <w:rPr>
          <w:rFonts w:ascii="Times New Roman" w:hAnsi="Times New Roman"/>
          <w:b/>
          <w:sz w:val="24"/>
        </w:rPr>
        <w:t>2.5 Perspectiva internacionalizada. Su documento está lleno de siglas colombianas —DUA, PIAR, SIMAT, PEI, ETC, MEN, ICFES— que un evaluador de otro país no puede leer. Hay que desplegarlas la primera vez y darles equivalencia internacional. El glosario ya está armado.</w:t>
      </w:r>
    </w:p>
    <w:p>
      <w:pPr>
        <w:spacing w:after="120"/>
      </w:pPr>
      <w:r>
        <w:rPr>
          <w:rFonts w:ascii="Times New Roman" w:hAnsi="Times New Roman"/>
          <w:b/>
          <w:sz w:val="24"/>
        </w:rPr>
        <w:t>2.6 Toda afirmación teórica con autor. Especialmente en los tramos donde escribes tú de corrido: es ahí donde se cuela una afirmación sin fuente. El programa usa la palabra plagio para advertirlo.</w:t>
      </w:r>
    </w:p>
    <w:p>
      <w:pPr>
        <w:spacing w:after="120"/>
      </w:pPr>
      <w:r>
        <w:rPr>
          <w:rFonts w:ascii="Times New Roman" w:hAnsi="Times New Roman"/>
          <w:b/>
          <w:sz w:val="24"/>
        </w:rPr>
        <w:t>2.7 Declarar el objeto de estudio en sentido teórico. No basta con el paradigma: hay que decir desde qué perspectiva teórica se mira el fenómeno.</w:t>
      </w:r>
    </w:p>
    <w:p>
      <w:pPr>
        <w:spacing w:after="120"/>
      </w:pPr>
      <w:r>
        <w:rPr>
          <w:rFonts w:ascii="Times New Roman" w:hAnsi="Times New Roman"/>
          <w:b/>
          <w:sz w:val="24"/>
        </w:rPr>
        <w:t>2.8 En la matriz, que el enfoque, el diseño y las técnicas correspondan a lo que realmente hizo cada estudio. Es el error que más rápido detecta un asesor, porque basta con abrir un artículo y comparar. En la matriz que le entregué, las celdas que el resumen no permitía afirmar quedaron marcadas en rojo en vez de rellenadas.</w:t>
      </w:r>
    </w:p>
    <w:p>
      <w:pPr>
        <w:spacing w:before="200" w:after="80"/>
      </w:pPr>
      <w:r>
        <w:rPr>
          <w:rFonts w:ascii="Times New Roman" w:hAnsi="Times New Roman"/>
          <w:b/>
          <w:color w:val="2E5A87"/>
          <w:sz w:val="26"/>
        </w:rPr>
        <w:t>Parte 3 — Mi criterio como director</w:t>
      </w:r>
    </w:p>
    <w:p>
      <w:pPr>
        <w:spacing w:after="120"/>
      </w:pPr>
      <w:r>
        <w:rPr>
          <w:rFonts w:ascii="Times New Roman" w:hAnsi="Times New Roman"/>
          <w:b/>
          <w:sz w:val="24"/>
        </w:rPr>
        <w:t>3.1 El filo político no se negocia. Su énfasis es Políticas Contemporáneas y su línea institucional es de análisis de políticas para la equidad. Su vacío real es que casi todos estudian esto desde lo fenomenológico y casi nadie desde la política. Puede obedecer el comprender que le pide su asesora sin perder eso: comprender las vivencias, pero interpretarlas con lente de política y cerrar en lineamientos. Hoy eso está explícito en el anteproyecto; no lo deje volver a quedar implícito.</w:t>
      </w:r>
    </w:p>
    <w:p>
      <w:pPr>
        <w:spacing w:after="120"/>
      </w:pPr>
      <w:r>
        <w:rPr>
          <w:rFonts w:ascii="Times New Roman" w:hAnsi="Times New Roman"/>
          <w:b/>
          <w:sz w:val="24"/>
        </w:rPr>
        <w:t>3.2 Que no se le corra el sujeto del estudiante al docente. En la asesoría la conversación derivó hacia los relatos de las maestras. Si el corpus termina siendo solo docente, su tesis se convierte en un género que ya existe y pierde la originalidad. El corpus va a dos voces, con el estudiante al centro.</w:t>
      </w:r>
    </w:p>
    <w:p>
      <w:pPr>
        <w:spacing w:after="120"/>
      </w:pPr>
      <w:r>
        <w:rPr>
          <w:rFonts w:ascii="Times New Roman" w:hAnsi="Times New Roman"/>
          <w:b/>
          <w:sz w:val="24"/>
        </w:rPr>
        <w:t>3.3 El eje semirural-urbano se conserva, pero renombrado. En diseño narrativo no es un multicaso comparativo: es un criterio de selección de narradores y un eje de contraste en el análisis.</w:t>
      </w:r>
    </w:p>
    <w:p>
      <w:pPr>
        <w:spacing w:after="120"/>
      </w:pPr>
      <w:r>
        <w:rPr>
          <w:rFonts w:ascii="Times New Roman" w:hAnsi="Times New Roman"/>
          <w:b/>
          <w:sz w:val="24"/>
        </w:rPr>
        <w:t>3.4 Congelar el paradigma. En pocos meses el rumbo se movió tres veces. El actual es el más coherente de los tres y por eso lo respaldo. Pero cada cambio cuesta semanas de reescritura: de aquí en adelante que se muevan los detalles, no los cimientos.</w:t>
      </w:r>
    </w:p>
    <w:p>
      <w:pPr>
        <w:spacing w:after="120"/>
      </w:pPr>
      <w:r>
        <w:rPr>
          <w:rFonts w:ascii="Times New Roman" w:hAnsi="Times New Roman"/>
          <w:b/>
          <w:sz w:val="24"/>
        </w:rPr>
        <w:t>3.5 Los cuellos de botella de la titulación, que nadie le está recordando. Certificación de lengua extranjera en nivel B1, artículo en revista indexada, ponencia en evento científico y pasantía doctoral. Las tesis no se atrasan por el marco teórico: se atrasan por estos requisitos dejados para el final. Empiece el B1 y el artículo ahora.</w:t>
      </w:r>
    </w:p>
    <w:p>
      <w:pPr>
        <w:spacing w:after="120"/>
      </w:pPr>
      <w:r>
        <w:rPr>
          <w:rFonts w:ascii="Times New Roman" w:hAnsi="Times New Roman"/>
          <w:b/>
          <w:sz w:val="24"/>
        </w:rPr>
        <w:t>3.6 Cuidado con la revista de la universidad como único destino. Para titularse le exigen revista indexada, y la revista institucional puede no cumplir ese requisito. Verifíquelo antes de comprometer el artículo.</w:t>
      </w:r>
    </w:p>
    <w:p>
      <w:pPr>
        <w:spacing w:after="120"/>
      </w:pPr>
      <w:r>
        <w:rPr>
          <w:rFonts w:ascii="Times New Roman" w:hAnsi="Times New Roman"/>
          <w:b/>
          <w:sz w:val="24"/>
        </w:rPr>
        <w:t>3.7 Un solo esfuerzo, tres entregas. El mismo trabajo de revisión le sirve para la matriz del 30 de septiembre, para el capítulo del 25 de octubre y para el artículo de candidatura. No son tres tareas.</w:t>
      </w:r>
    </w:p>
    <w:p>
      <w:pPr>
        <w:spacing w:after="120"/>
      </w:pPr>
      <w:r>
        <w:rPr>
          <w:rFonts w:ascii="Times New Roman" w:hAnsi="Times New Roman"/>
          <w:b/>
          <w:sz w:val="24"/>
        </w:rPr>
        <w:t>3.8 Sobre la convergencia de los asesores. El programa viene señalando a distintos estudiantes que un trabajo situado en la propia institución corre el riesgo de leerse como diagnóstico. Que dos asesores distintos lo digan significa que es la vara de evaluación, no una opinión personal. Su respuesta ya está construida: el contraste territorial y el objeto de estudio declarado.</w:t>
      </w:r>
    </w:p>
    <w:p>
      <w:pPr>
        <w:spacing w:before="200" w:after="80"/>
      </w:pPr>
      <w:r>
        <w:rPr>
          <w:rFonts w:ascii="Times New Roman" w:hAnsi="Times New Roman"/>
          <w:b/>
          <w:color w:val="2E5A87"/>
          <w:sz w:val="26"/>
        </w:rPr>
        <w:t>Parte 4 — Decisiones que dependen de ti</w:t>
      </w:r>
    </w:p>
    <w:p>
      <w:pPr>
        <w:spacing w:after="120"/>
      </w:pPr>
      <w:r>
        <w:rPr>
          <w:rFonts w:ascii="Times New Roman" w:hAnsi="Times New Roman"/>
          <w:b/>
          <w:sz w:val="24"/>
        </w:rPr>
        <w:t>4.1 Cuál es la institución urbana de Montería, y si tiene acceso real a ella. Es la decisión que más cosas destraba.</w:t>
      </w:r>
    </w:p>
    <w:p>
      <w:pPr>
        <w:spacing w:after="120"/>
      </w:pPr>
      <w:r>
        <w:rPr>
          <w:rFonts w:ascii="Times New Roman" w:hAnsi="Times New Roman"/>
          <w:b/>
          <w:sz w:val="24"/>
        </w:rPr>
        <w:t>4.2 Cuántos relatos por contexto.</w:t>
      </w:r>
    </w:p>
    <w:p>
      <w:pPr>
        <w:spacing w:after="120"/>
      </w:pPr>
      <w:r>
        <w:rPr>
          <w:rFonts w:ascii="Times New Roman" w:hAnsi="Times New Roman"/>
          <w:b/>
          <w:sz w:val="24"/>
        </w:rPr>
        <w:t>4.3 Reescribir las escenas de campo en primera persona. Están marcadas en rojo en el anteproyecto.</w:t>
      </w:r>
    </w:p>
    <w:p>
      <w:pPr>
        <w:spacing w:after="120"/>
      </w:pPr>
      <w:r>
        <w:rPr>
          <w:rFonts w:ascii="Times New Roman" w:hAnsi="Times New Roman"/>
          <w:b/>
          <w:sz w:val="24"/>
        </w:rPr>
        <w:t>4.4 Conseguir el número y la fecha oficiales de la resolución del DUA expedida a finales de julio.</w:t>
      </w:r>
    </w:p>
    <w:p>
      <w:pPr>
        <w:spacing w:after="120"/>
      </w:pPr>
      <w:r>
        <w:rPr>
          <w:rFonts w:ascii="Times New Roman" w:hAnsi="Times New Roman"/>
          <w:b/>
          <w:sz w:val="24"/>
        </w:rPr>
        <w:t>4.5 Completar la revisión en Dialnet y en repositorios colombianos, y consultar SciELO manualmente. Es lo que falta para cerrar la matriz de las veinticinco tesis doctorales.</w:t>
      </w:r>
    </w:p>
    <w:p>
      <w:pPr>
        <w:spacing w:after="120"/>
      </w:pPr>
      <w:r>
        <w:rPr>
          <w:rFonts w:ascii="Times New Roman" w:hAnsi="Times New Roman"/>
          <w:b/>
          <w:sz w:val="24"/>
        </w:rPr>
        <w:t>4.6 Leer los planes de desarrollo nacional, departamental y municipales en materia educativa.</w:t>
      </w:r>
    </w:p>
    <w:p>
      <w:pPr>
        <w:spacing w:after="120"/>
      </w:pPr>
      <w:r>
        <w:rPr>
          <w:rFonts w:ascii="Times New Roman" w:hAnsi="Times New Roman"/>
          <w:b/>
          <w:sz w:val="24"/>
        </w:rPr>
        <w:t>4.7 Consultar con su asesora el párrafo señalado en el anteproyecto, el que fundamenta por qué narrativa y no estudio de casos.</w:t>
      </w:r>
    </w:p>
    <w:p>
      <w:pPr>
        <w:spacing w:before="200" w:after="80"/>
      </w:pPr>
      <w:r>
        <w:rPr>
          <w:rFonts w:ascii="Times New Roman" w:hAnsi="Times New Roman"/>
          <w:b/>
          <w:color w:val="2E5A87"/>
          <w:sz w:val="26"/>
        </w:rPr>
        <w:t>Parte 5 — Qué hacer esta semana</w:t>
      </w:r>
    </w:p>
    <w:p>
      <w:pPr>
        <w:spacing w:after="120"/>
      </w:pPr>
      <w:r>
        <w:rPr>
          <w:rFonts w:ascii="Times New Roman" w:hAnsi="Times New Roman"/>
          <w:b w:val="0"/>
          <w:sz w:val="24"/>
        </w:rPr>
        <w:t>Sábado 8, a las 7:30 de la mañana, tutoría grupal antes de la clase de las nueve. Llévele dos cosas concretas: la corrección del dato del ICFES y la consulta sobre ese párrafo.</w:t>
      </w:r>
    </w:p>
    <w:p>
      <w:pPr>
        <w:spacing w:after="120"/>
      </w:pPr>
      <w:r>
        <w:rPr>
          <w:rFonts w:ascii="Times New Roman" w:hAnsi="Times New Roman"/>
          <w:b w:val="0"/>
          <w:sz w:val="24"/>
        </w:rPr>
        <w:t>Antes del 10 de agosto, el cuestionario del seminario, que vale el veinticinco por ciento.</w:t>
      </w:r>
    </w:p>
    <w:p>
      <w:pPr>
        <w:spacing w:after="120"/>
      </w:pPr>
      <w:r>
        <w:rPr>
          <w:rFonts w:ascii="Times New Roman" w:hAnsi="Times New Roman"/>
          <w:b w:val="0"/>
          <w:sz w:val="24"/>
        </w:rPr>
        <w:t>Y en el tiempo que le quede, la búsqueda en Dialnet. Es lo único que bloquea la matriz, el capítulo y el artículo a la vez.</w:t>
      </w:r>
    </w:p>
    <w:p>
      <w:pPr>
        <w:spacing w:before="200" w:after="80"/>
      </w:pPr>
      <w:r>
        <w:rPr>
          <w:rFonts w:ascii="Times New Roman" w:hAnsi="Times New Roman"/>
          <w:b/>
          <w:color w:val="2E5A87"/>
          <w:sz w:val="26"/>
        </w:rPr>
        <w:t>📌 SUSTENTACIÓN (solo para ti — borrar antes de entregar)</w:t>
      </w:r>
    </w:p>
    <w:p>
      <w:pPr>
        <w:spacing w:after="120"/>
      </w:pPr>
      <w:r>
        <w:rPr>
          <w:rFonts w:ascii="Times New Roman" w:hAnsi="Times New Roman"/>
          <w:b w:val="0"/>
          <w:sz w:val="24"/>
        </w:rPr>
        <w:t>Por qué separé las recomendaciones por origen. Porque no todas tienen el mismo peso y necesitas saber cuáles puedes discutir. Lo que pide tu asesora se cumple: ella firma y conoce al jurado. El estándar del programa se cumple porque es la vara de evaluación. Lo mío es criterio y se discute; si no estás de acuerdo con algo de la parte 3, dímelo y lo revisamos.</w:t>
      </w:r>
    </w:p>
    <w:p>
      <w:pPr>
        <w:spacing w:after="120"/>
      </w:pPr>
      <w:r>
        <w:rPr>
          <w:rFonts w:ascii="Times New Roman" w:hAnsi="Times New Roman"/>
          <w:b w:val="0"/>
          <w:sz w:val="24"/>
        </w:rPr>
        <w:t>Sobre la parte 2. Esos criterios todavía no te los pidieron a ti: salen de una devolución que el programa le hizo a otro estudiante sobre su estado del arte. Lo que se trasladó son estándares metodológicos aplicables a cualquier tesis doctoral, nunca contenido de otra investigación. Te lo aclaro para que sepas de dónde viene cada cosa si alguien te pregunta.</w:t>
      </w:r>
    </w:p>
    <w:p>
      <w:pPr>
        <w:spacing w:after="120"/>
      </w:pPr>
      <w:r>
        <w:rPr>
          <w:rFonts w:ascii="Times New Roman" w:hAnsi="Times New Roman"/>
          <w:b w:val="0"/>
          <w:sz w:val="24"/>
        </w:rPr>
        <w:t>Lo que más le recomiendo de todo el documento. El punto 3.5, el de los requisitos de titulación. Es el menos urgente hoy y el que más caro sale mañana. Un B1 se certifica en meses, no en semanas, y no hay tesis que compense no tenerlo.</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