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Entrega del 30 de agosto de 2026</w:t>
      </w:r>
    </w:p>
    <w:p>
      <w:pPr>
        <w:spacing w:line="480" w:lineRule="auto"/>
        <w:jc w:val="center"/>
      </w:pPr>
      <w:r>
        <w:rPr>
          <w:rFonts w:ascii="Times New Roman" w:hAnsi="Times New Roman"/>
          <w:b w:val="0"/>
          <w:i/>
          <w:sz w:val="24"/>
        </w:rPr>
        <w:t>Matriz de coherencia del proyecto</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3 de agosto de 2026</w:t>
      </w:r>
    </w:p>
    <w:p>
      <w:r>
        <w:br w:type="page"/>
      </w:r>
    </w:p>
    <w:p>
      <w:pPr>
        <w:spacing w:line="480" w:lineRule="auto"/>
        <w:jc w:val="center"/>
      </w:pPr>
      <w:r>
        <w:rPr>
          <w:rFonts w:ascii="Times New Roman" w:hAnsi="Times New Roman"/>
          <w:b/>
          <w:i w:val="0"/>
          <w:sz w:val="24"/>
        </w:rPr>
        <w:t>Entrega del 30 de agosto de 2026</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before="200" w:after="80"/>
      </w:pPr>
      <w:r>
        <w:rPr>
          <w:rFonts w:ascii="Times New Roman" w:hAnsi="Times New Roman"/>
          <w:b/>
          <w:color w:val="2E5A87"/>
          <w:sz w:val="26"/>
        </w:rPr>
        <w:t>Matriz de coherencia</w:t>
      </w:r>
    </w:p>
    <w:tbl>
      <w:tblPr>
        <w:tblW w:type="auto" w:w="0"/>
        <w:tblLook w:firstColumn="1" w:firstRow="1" w:lastColumn="0" w:lastRow="0" w:noHBand="0" w:noVBand="1" w:val="04A0"/>
        <w:tblBorders>
          <w:top w:val="single" w:sz="6" w:space="0" w:color="888888"/>
          <w:left w:val="single" w:sz="6" w:space="0" w:color="888888"/>
          <w:bottom w:val="single" w:sz="6" w:space="0" w:color="888888"/>
          <w:right w:val="single" w:sz="6" w:space="0" w:color="888888"/>
          <w:insideH w:val="single" w:sz="6" w:space="0" w:color="888888"/>
          <w:insideV w:val="single" w:sz="6" w:space="0" w:color="888888"/>
        </w:tblBorders>
      </w:tblPr>
      <w:tblGrid>
        <w:gridCol w:w="5400"/>
        <w:gridCol w:w="5400"/>
      </w:tblGrid>
      <w:tr>
        <w:tc>
          <w:tcPr>
            <w:tcW w:type="dxa" w:w="2551"/>
          </w:tcPr>
          <w:p>
            <w:r/>
            <w:r>
              <w:rPr>
                <w:rFonts w:ascii="Times New Roman" w:hAnsi="Times New Roman"/>
                <w:b/>
                <w:sz w:val="22"/>
              </w:rPr>
              <w:t>Tema</w:t>
            </w:r>
          </w:p>
        </w:tc>
        <w:tc>
          <w:tcPr>
            <w:tcW w:type="dxa" w:w="7937"/>
          </w:tcPr>
          <w:p>
            <w:r/>
            <w:r>
              <w:rPr>
                <w:rFonts w:ascii="Times New Roman" w:hAnsi="Times New Roman"/>
                <w:b w:val="0"/>
                <w:sz w:val="22"/>
              </w:rPr>
              <w:t>Inclusión educativa y socioemocionalidad en la básica secundaria de Córdoba, Colombia.</w:t>
            </w:r>
          </w:p>
        </w:tc>
      </w:tr>
      <w:tr>
        <w:tc>
          <w:tcPr>
            <w:tcW w:type="dxa" w:w="2551"/>
          </w:tcPr>
          <w:p>
            <w:r/>
            <w:r>
              <w:rPr>
                <w:rFonts w:ascii="Times New Roman" w:hAnsi="Times New Roman"/>
                <w:b/>
                <w:sz w:val="22"/>
              </w:rPr>
              <w:t>Problema</w:t>
            </w:r>
          </w:p>
        </w:tc>
        <w:tc>
          <w:tcPr>
            <w:tcW w:type="dxa" w:w="7937"/>
          </w:tcPr>
          <w:p>
            <w:r/>
            <w:r>
              <w:rPr>
                <w:rFonts w:ascii="Times New Roman" w:hAnsi="Times New Roman"/>
                <w:b w:val="0"/>
                <w:sz w:val="22"/>
              </w:rPr>
              <w:t>La política colombiana de inclusión (Decreto 1421 de 2017) concreta sus dispositivos —DUA y PIAR— sobre el aprendizaje, mientras la dimensión socioemocional permanece como punto ciego. El corpus normativo socioemocional expedido entre 2024 y 2025 (Leyes 2383, 2460, 2491 y 2503) no menciona en ningún caso el Decreto 1421: inclusión y socioemocionalidad se legislan en carriles separados. En el territorio semirural esa desarticulación se agrava, porque el acceso al diagnóstico —requisito de hecho para el PIAR— depende de una oferta de salud escasa y distante.</w:t>
            </w:r>
          </w:p>
        </w:tc>
      </w:tr>
      <w:tr>
        <w:tc>
          <w:tcPr>
            <w:tcW w:type="dxa" w:w="2551"/>
          </w:tcPr>
          <w:p>
            <w:r/>
            <w:r>
              <w:rPr>
                <w:rFonts w:ascii="Times New Roman" w:hAnsi="Times New Roman"/>
                <w:b/>
                <w:sz w:val="22"/>
              </w:rPr>
              <w:t>Título</w:t>
            </w:r>
          </w:p>
        </w:tc>
        <w:tc>
          <w:tcPr>
            <w:tcW w:type="dxa" w:w="7937"/>
          </w:tcPr>
          <w:p>
            <w:r/>
            <w:r>
              <w:rPr>
                <w:rFonts w:ascii="Times New Roman" w:hAnsi="Times New Roman"/>
                <w:b w:val="0"/>
                <w:sz w:val="22"/>
              </w:rPr>
              <w:t>Inclusión educativa y socioemocionalidad: una comprensión hermenéutica crítica desde los relatos de estudiantes con dificultades de aprendizaje y de sus docentes en la básica secundaria semirural y urbana de Córdoba, Colombia.</w:t>
            </w:r>
          </w:p>
        </w:tc>
      </w:tr>
      <w:tr>
        <w:tc>
          <w:tcPr>
            <w:tcW w:type="dxa" w:w="2551"/>
          </w:tcPr>
          <w:p>
            <w:r/>
            <w:r>
              <w:rPr>
                <w:rFonts w:ascii="Times New Roman" w:hAnsi="Times New Roman"/>
                <w:b/>
                <w:sz w:val="22"/>
              </w:rPr>
              <w:t>Pregunta</w:t>
            </w:r>
          </w:p>
        </w:tc>
        <w:tc>
          <w:tcPr>
            <w:tcW w:type="dxa" w:w="7937"/>
          </w:tcPr>
          <w:p>
            <w:r/>
            <w:r>
              <w:rPr>
                <w:rFonts w:ascii="Times New Roman" w:hAnsi="Times New Roman"/>
                <w:b w:val="0"/>
                <w:sz w:val="22"/>
              </w:rPr>
              <w:t>¿Cómo se relacionan las prácticas de inclusión educativa y las vivencias socioemocionales de los estudiantes con dificultades de aprendizaje y de sus docentes, en dos instituciones de básica secundaria —una semirural y una urbana— de Córdoba, Colombia?</w:t>
            </w:r>
          </w:p>
        </w:tc>
      </w:tr>
      <w:tr>
        <w:tc>
          <w:tcPr>
            <w:tcW w:type="dxa" w:w="2551"/>
          </w:tcPr>
          <w:p>
            <w:r/>
            <w:r>
              <w:rPr>
                <w:rFonts w:ascii="Times New Roman" w:hAnsi="Times New Roman"/>
                <w:b/>
                <w:sz w:val="22"/>
              </w:rPr>
              <w:t>Propósito (Objetivo General)</w:t>
            </w:r>
          </w:p>
        </w:tc>
        <w:tc>
          <w:tcPr>
            <w:tcW w:type="dxa" w:w="7937"/>
          </w:tcPr>
          <w:p>
            <w:r/>
            <w:r>
              <w:rPr>
                <w:rFonts w:ascii="Times New Roman" w:hAnsi="Times New Roman"/>
                <w:b w:val="0"/>
                <w:sz w:val="22"/>
              </w:rPr>
              <w:t>Comprender críticamente, desde los relatos de sus protagonistas, cómo se relacionan las prácticas de inclusión educativa y las vivencias socioemocionales de los estudiantes con dificultades de aprendizaje y de sus docentes, en dos instituciones de básica secundaria —semirural y urbana— de Córdoba.</w:t>
            </w:r>
          </w:p>
        </w:tc>
      </w:tr>
    </w:tbl>
    <w:p>
      <w:pPr>
        <w:spacing w:before="200" w:after="80"/>
      </w:pPr>
      <w:r>
        <w:rPr>
          <w:rFonts w:ascii="Times New Roman" w:hAnsi="Times New Roman"/>
          <w:b/>
          <w:color w:val="2E5A87"/>
          <w:sz w:val="26"/>
        </w:rPr>
        <w:t>Preguntas orientadoras, objetivos, categorías, paradigma y técnicas</w:t>
      </w:r>
    </w:p>
    <w:tbl>
      <w:tblPr>
        <w:tblW w:type="auto" w:w="0"/>
        <w:tblLook w:firstColumn="1" w:firstRow="1" w:lastColumn="0" w:lastRow="0" w:noHBand="0" w:noVBand="1" w:val="04A0"/>
        <w:tblBorders>
          <w:top w:val="single" w:sz="6" w:space="0" w:color="888888"/>
          <w:left w:val="single" w:sz="6" w:space="0" w:color="888888"/>
          <w:bottom w:val="single" w:sz="6" w:space="0" w:color="888888"/>
          <w:right w:val="single" w:sz="6" w:space="0" w:color="888888"/>
          <w:insideH w:val="single" w:sz="6" w:space="0" w:color="888888"/>
          <w:insideV w:val="single" w:sz="6" w:space="0" w:color="888888"/>
        </w:tblBorders>
      </w:tblPr>
      <w:tblGrid>
        <w:gridCol w:w="2160"/>
        <w:gridCol w:w="2160"/>
        <w:gridCol w:w="2160"/>
        <w:gridCol w:w="2160"/>
        <w:gridCol w:w="2160"/>
      </w:tblGrid>
      <w:tr>
        <w:tc>
          <w:tcPr>
            <w:tcW w:type="dxa" w:w="2608"/>
          </w:tcPr>
          <w:p>
            <w:r/>
            <w:r>
              <w:rPr>
                <w:rFonts w:ascii="Times New Roman" w:hAnsi="Times New Roman"/>
                <w:b/>
                <w:color w:val="2E5A87"/>
                <w:sz w:val="20"/>
              </w:rPr>
              <w:t>Pregunta orientadora</w:t>
            </w:r>
          </w:p>
        </w:tc>
        <w:tc>
          <w:tcPr>
            <w:tcW w:type="dxa" w:w="2608"/>
          </w:tcPr>
          <w:p>
            <w:r/>
            <w:r>
              <w:rPr>
                <w:rFonts w:ascii="Times New Roman" w:hAnsi="Times New Roman"/>
                <w:b/>
                <w:color w:val="2E5A87"/>
                <w:sz w:val="20"/>
              </w:rPr>
              <w:t>Objetivo</w:t>
            </w:r>
          </w:p>
        </w:tc>
        <w:tc>
          <w:tcPr>
            <w:tcW w:type="dxa" w:w="2154"/>
          </w:tcPr>
          <w:p>
            <w:r/>
            <w:r>
              <w:rPr>
                <w:rFonts w:ascii="Times New Roman" w:hAnsi="Times New Roman"/>
                <w:b/>
                <w:color w:val="2E5A87"/>
                <w:sz w:val="20"/>
              </w:rPr>
              <w:t>Categoría</w:t>
            </w:r>
          </w:p>
        </w:tc>
        <w:tc>
          <w:tcPr>
            <w:tcW w:type="dxa" w:w="1644"/>
          </w:tcPr>
          <w:p>
            <w:r/>
            <w:r>
              <w:rPr>
                <w:rFonts w:ascii="Times New Roman" w:hAnsi="Times New Roman"/>
                <w:b/>
                <w:color w:val="2E5A87"/>
                <w:sz w:val="20"/>
              </w:rPr>
              <w:t>Paradigma</w:t>
            </w:r>
          </w:p>
        </w:tc>
        <w:tc>
          <w:tcPr>
            <w:tcW w:type="dxa" w:w="2041"/>
          </w:tcPr>
          <w:p>
            <w:r/>
            <w:r>
              <w:rPr>
                <w:rFonts w:ascii="Times New Roman" w:hAnsi="Times New Roman"/>
                <w:b/>
                <w:color w:val="2E5A87"/>
                <w:sz w:val="20"/>
              </w:rPr>
              <w:t>Técnica</w:t>
            </w:r>
          </w:p>
        </w:tc>
      </w:tr>
      <w:tr>
        <w:tc>
          <w:tcPr>
            <w:tcW w:type="dxa" w:w="2608"/>
          </w:tcPr>
          <w:p>
            <w:r/>
            <w:r>
              <w:rPr>
                <w:rFonts w:ascii="Times New Roman" w:hAnsi="Times New Roman"/>
                <w:b w:val="0"/>
                <w:sz w:val="18"/>
              </w:rPr>
              <w:t>¿Cómo configuran los docentes sus prácticas de inclusión en cada contexto, según lo que ellos mismos narran?</w:t>
            </w:r>
          </w:p>
        </w:tc>
        <w:tc>
          <w:tcPr>
            <w:tcW w:type="dxa" w:w="2608"/>
          </w:tcPr>
          <w:p>
            <w:r/>
            <w:r>
              <w:rPr>
                <w:rFonts w:ascii="Times New Roman" w:hAnsi="Times New Roman"/>
                <w:b w:val="0"/>
                <w:sz w:val="18"/>
              </w:rPr>
              <w:t>Caracterizar las prácticas de inclusión educativa que configuran los docentes en cada contexto, a partir de sus relatos.</w:t>
            </w:r>
          </w:p>
        </w:tc>
        <w:tc>
          <w:tcPr>
            <w:tcW w:type="dxa" w:w="2154"/>
          </w:tcPr>
          <w:p>
            <w:r/>
            <w:r>
              <w:rPr>
                <w:rFonts w:ascii="Times New Roman" w:hAnsi="Times New Roman"/>
                <w:b w:val="0"/>
                <w:sz w:val="18"/>
              </w:rPr>
              <w:t>Prácticas de inclusión educativa (DUA, PIAR, ajustes razonables); barreras al aprendizaje y la participación.</w:t>
            </w:r>
          </w:p>
        </w:tc>
        <w:tc>
          <w:tcPr>
            <w:tcW w:type="dxa" w:w="1644"/>
          </w:tcPr>
          <w:p>
            <w:r/>
            <w:r>
              <w:rPr>
                <w:rFonts w:ascii="Times New Roman" w:hAnsi="Times New Roman"/>
                <w:b w:val="0"/>
                <w:sz w:val="18"/>
              </w:rPr>
              <w:t>Histórico-hermenéutico de orientación crítica</w:t>
            </w:r>
          </w:p>
        </w:tc>
        <w:tc>
          <w:tcPr>
            <w:tcW w:type="dxa" w:w="2041"/>
          </w:tcPr>
          <w:p>
            <w:r/>
            <w:r>
              <w:rPr>
                <w:rFonts w:ascii="Times New Roman" w:hAnsi="Times New Roman"/>
                <w:b w:val="0"/>
                <w:sz w:val="18"/>
              </w:rPr>
              <w:t>Entrevista a profundidad; relatos de vida; revisión documental</w:t>
            </w:r>
          </w:p>
        </w:tc>
      </w:tr>
      <w:tr>
        <w:tc>
          <w:tcPr>
            <w:tcW w:type="dxa" w:w="2608"/>
          </w:tcPr>
          <w:p>
            <w:r/>
            <w:r>
              <w:rPr>
                <w:rFonts w:ascii="Times New Roman" w:hAnsi="Times New Roman"/>
                <w:b w:val="0"/>
                <w:sz w:val="18"/>
              </w:rPr>
              <w:t>¿Cómo viven e interpretan los estudiantes con dificultades de aprendizaje su proceso de inclusión, narrado en primera persona?</w:t>
            </w:r>
          </w:p>
        </w:tc>
        <w:tc>
          <w:tcPr>
            <w:tcW w:type="dxa" w:w="2608"/>
          </w:tcPr>
          <w:p>
            <w:r/>
            <w:r>
              <w:rPr>
                <w:rFonts w:ascii="Times New Roman" w:hAnsi="Times New Roman"/>
                <w:b w:val="0"/>
                <w:sz w:val="18"/>
              </w:rPr>
              <w:t>Interpretar las vivencias socioemocionales de los estudiantes con dificultades de aprendizaje, narradas en primera persona.</w:t>
            </w:r>
          </w:p>
        </w:tc>
        <w:tc>
          <w:tcPr>
            <w:tcW w:type="dxa" w:w="2154"/>
          </w:tcPr>
          <w:p>
            <w:r/>
            <w:r>
              <w:rPr>
                <w:rFonts w:ascii="Times New Roman" w:hAnsi="Times New Roman"/>
                <w:b w:val="0"/>
                <w:sz w:val="18"/>
              </w:rPr>
              <w:t>Vivencia socioemocional; exclusión sentida; reconocimiento y menosprecio.</w:t>
            </w:r>
          </w:p>
        </w:tc>
        <w:tc>
          <w:tcPr>
            <w:tcW w:type="dxa" w:w="1644"/>
          </w:tcPr>
          <w:p>
            <w:r/>
            <w:r>
              <w:rPr>
                <w:rFonts w:ascii="Times New Roman" w:hAnsi="Times New Roman"/>
                <w:b w:val="0"/>
                <w:sz w:val="18"/>
              </w:rPr>
              <w:t>Histórico-hermenéutico de orientación crítica</w:t>
            </w:r>
          </w:p>
        </w:tc>
        <w:tc>
          <w:tcPr>
            <w:tcW w:type="dxa" w:w="2041"/>
          </w:tcPr>
          <w:p>
            <w:r/>
            <w:r>
              <w:rPr>
                <w:rFonts w:ascii="Times New Roman" w:hAnsi="Times New Roman"/>
                <w:b w:val="0"/>
                <w:sz w:val="18"/>
              </w:rPr>
              <w:t>Relatos de vida; entrevista a profundidad</w:t>
            </w:r>
          </w:p>
        </w:tc>
      </w:tr>
      <w:tr>
        <w:tc>
          <w:tcPr>
            <w:tcW w:type="dxa" w:w="2608"/>
          </w:tcPr>
          <w:p>
            <w:r/>
            <w:r>
              <w:rPr>
                <w:rFonts w:ascii="Times New Roman" w:hAnsi="Times New Roman"/>
                <w:b w:val="0"/>
                <w:sz w:val="18"/>
              </w:rPr>
              <w:t>¿Qué relaciones se establecen entre esas prácticas y esas vivencias, y qué variaciones presentan entre el contexto semirural y el urbano?</w:t>
            </w:r>
          </w:p>
        </w:tc>
        <w:tc>
          <w:tcPr>
            <w:tcW w:type="dxa" w:w="2608"/>
          </w:tcPr>
          <w:p>
            <w:r/>
            <w:r>
              <w:rPr>
                <w:rFonts w:ascii="Times New Roman" w:hAnsi="Times New Roman"/>
                <w:b w:val="0"/>
                <w:sz w:val="18"/>
              </w:rPr>
              <w:t>Establecer las relaciones entre esas prácticas y esas vivencias, y sus variaciones entre el contexto semirural y el urbano.</w:t>
            </w:r>
          </w:p>
        </w:tc>
        <w:tc>
          <w:tcPr>
            <w:tcW w:type="dxa" w:w="2154"/>
          </w:tcPr>
          <w:p>
            <w:r/>
            <w:r>
              <w:rPr>
                <w:rFonts w:ascii="Times New Roman" w:hAnsi="Times New Roman"/>
                <w:b w:val="0"/>
                <w:sz w:val="18"/>
              </w:rPr>
              <w:t>Relación práctica-vivencia; territorio (semirural / urbano); paridad participativa.</w:t>
            </w:r>
          </w:p>
        </w:tc>
        <w:tc>
          <w:tcPr>
            <w:tcW w:type="dxa" w:w="1644"/>
          </w:tcPr>
          <w:p>
            <w:r/>
            <w:r>
              <w:rPr>
                <w:rFonts w:ascii="Times New Roman" w:hAnsi="Times New Roman"/>
                <w:b w:val="0"/>
                <w:sz w:val="18"/>
              </w:rPr>
              <w:t>Histórico-hermenéutico de orientación crítica</w:t>
            </w:r>
          </w:p>
        </w:tc>
        <w:tc>
          <w:tcPr>
            <w:tcW w:type="dxa" w:w="2041"/>
          </w:tcPr>
          <w:p>
            <w:r/>
            <w:r>
              <w:rPr>
                <w:rFonts w:ascii="Times New Roman" w:hAnsi="Times New Roman"/>
                <w:b w:val="0"/>
                <w:sz w:val="18"/>
              </w:rPr>
              <w:t>Análisis temático del corpus narrativo; matrices de análisis; triangulación por fuentes y actores</w:t>
            </w:r>
          </w:p>
        </w:tc>
      </w:tr>
      <w:tr>
        <w:tc>
          <w:tcPr>
            <w:tcW w:type="dxa" w:w="2608"/>
          </w:tcPr>
          <w:p>
            <w:r/>
            <w:r>
              <w:rPr>
                <w:rFonts w:ascii="Times New Roman" w:hAnsi="Times New Roman"/>
                <w:b w:val="0"/>
                <w:sz w:val="18"/>
              </w:rPr>
              <w:t>¿Qué lineamientos para la política de inclusión y para la orientación escolar se derivan de la interpretación de esos relatos?</w:t>
            </w:r>
          </w:p>
        </w:tc>
        <w:tc>
          <w:tcPr>
            <w:tcW w:type="dxa" w:w="2608"/>
          </w:tcPr>
          <w:p>
            <w:r/>
            <w:r>
              <w:rPr>
                <w:rFonts w:ascii="Times New Roman" w:hAnsi="Times New Roman"/>
                <w:b w:val="0"/>
                <w:sz w:val="18"/>
              </w:rPr>
              <w:t>Derivar lineamientos para la política de inclusión y para la orientación escolar a partir de la interpretación de los relatos.</w:t>
            </w:r>
          </w:p>
        </w:tc>
        <w:tc>
          <w:tcPr>
            <w:tcW w:type="dxa" w:w="2154"/>
          </w:tcPr>
          <w:p>
            <w:r/>
            <w:r>
              <w:rPr>
                <w:rFonts w:ascii="Times New Roman" w:hAnsi="Times New Roman"/>
                <w:b w:val="0"/>
                <w:sz w:val="18"/>
              </w:rPr>
              <w:t>Recontextualización o puesta en acto de la política; policy gap; lineamientos.</w:t>
            </w:r>
          </w:p>
        </w:tc>
        <w:tc>
          <w:tcPr>
            <w:tcW w:type="dxa" w:w="1644"/>
          </w:tcPr>
          <w:p>
            <w:r/>
            <w:r>
              <w:rPr>
                <w:rFonts w:ascii="Times New Roman" w:hAnsi="Times New Roman"/>
                <w:b w:val="0"/>
                <w:sz w:val="18"/>
              </w:rPr>
              <w:t>Histórico-hermenéutico de orientación crítica</w:t>
            </w:r>
          </w:p>
        </w:tc>
        <w:tc>
          <w:tcPr>
            <w:tcW w:type="dxa" w:w="2041"/>
          </w:tcPr>
          <w:p>
            <w:r/>
            <w:r>
              <w:rPr>
                <w:rFonts w:ascii="Times New Roman" w:hAnsi="Times New Roman"/>
                <w:b w:val="0"/>
                <w:sz w:val="18"/>
              </w:rPr>
              <w:t>Revisión documental; interpretación guiada por el círculo hermenéutico</w:t>
            </w:r>
          </w:p>
        </w:tc>
      </w:tr>
    </w:tbl>
    <w:p>
      <w:pPr>
        <w:spacing w:before="200" w:after="80"/>
      </w:pPr>
      <w:r>
        <w:rPr>
          <w:rFonts w:ascii="Times New Roman" w:hAnsi="Times New Roman"/>
          <w:b/>
          <w:color w:val="2E5A87"/>
          <w:sz w:val="26"/>
        </w:rPr>
        <w:t>Nota de coherencia</w:t>
      </w:r>
    </w:p>
    <w:p>
      <w:pPr>
        <w:spacing w:after="120"/>
      </w:pPr>
      <w:r>
        <w:rPr>
          <w:rFonts w:ascii="Times New Roman" w:hAnsi="Times New Roman"/>
          <w:sz w:val="22"/>
        </w:rPr>
        <w:t>Cada pregunta orientadora tiene un objetivo específico y uno solo. Ningún objetivo específico repite el nivel de complejidad del objetivo general: el general comprende, y los específicos caracterizan, interpretan, establecen y derivan. Todos los verbos son coherentes con el paradigma comprensivo declarado: ninguno implementa, mide ni evalúa. El diseño es de investigación narrativa con relatos de vida, y por eso las técnicas se reducen a tres —entrevista a profundidad, relatos de vida y revisión documental—. Las matrices y el análisis temático no figuran como técnicas de campo sino como procedimiento de análisis.</w:t>
      </w:r>
    </w:p>
    <w:p>
      <w:pPr>
        <w:spacing w:before="200" w:after="80"/>
      </w:pPr>
      <w:r>
        <w:rPr>
          <w:rFonts w:ascii="Times New Roman" w:hAnsi="Times New Roman"/>
          <w:b/>
          <w:color w:val="2E5A87"/>
          <w:sz w:val="26"/>
        </w:rPr>
        <w:t>Pendientes de la doctoranda</w:t>
      </w:r>
    </w:p>
    <w:p>
      <w:pPr>
        <w:spacing w:after="120"/>
      </w:pPr>
      <w:r>
        <w:rPr>
          <w:rFonts w:ascii="Times New Roman" w:hAnsi="Times New Roman"/>
          <w:color w:val="CC0000"/>
          <w:sz w:val="22"/>
        </w:rPr>
        <w:t>Definir el nombre de la institución urbana de Montería y verificar el acceso real a ella.</w:t>
      </w:r>
    </w:p>
    <w:p>
      <w:pPr>
        <w:spacing w:after="120"/>
      </w:pPr>
      <w:r>
        <w:rPr>
          <w:rFonts w:ascii="Times New Roman" w:hAnsi="Times New Roman"/>
          <w:color w:val="CC0000"/>
          <w:sz w:val="22"/>
        </w:rPr>
        <w:t>Confirmar el número de relatos por contexto, con la saturación de la información como regla de cierre.</w:t>
      </w:r>
    </w:p>
    <w:p>
      <w:pPr>
        <w:spacing w:after="120"/>
      </w:pPr>
      <w:r>
        <w:rPr>
          <w:rFonts w:ascii="Times New Roman" w:hAnsi="Times New Roman"/>
          <w:color w:val="CC0000"/>
          <w:sz w:val="22"/>
        </w:rPr>
        <w:t>Consultar con la asesora si mantiene el objetivo 4, el de derivar lineamientos: en la última tutoría quedó mencionado de dos maneras distintas, se retiró al hablar del cambio de diseño y se ratificó al revisar la viabilidad.</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