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apoyo — Apartado 5</w:t>
      </w:r>
    </w:p>
    <w:p>
      <w:pPr>
        <w:spacing w:line="480" w:lineRule="auto"/>
        <w:jc w:val="center"/>
      </w:pPr>
      <w:r>
        <w:rPr>
          <w:rFonts w:ascii="Times New Roman" w:hAnsi="Times New Roman"/>
          <w:b w:val="0"/>
          <w:i/>
          <w:sz w:val="24"/>
        </w:rPr>
        <w:t>Estado del arte: metodología de la revisión, flujo de selección y hallazgos</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7 de agosto de 2026</w:t>
      </w:r>
    </w:p>
    <w:p>
      <w:r>
        <w:br w:type="page"/>
      </w:r>
    </w:p>
    <w:p>
      <w:pPr>
        <w:spacing w:line="480" w:lineRule="auto"/>
        <w:jc w:val="center"/>
      </w:pPr>
      <w:r>
        <w:rPr>
          <w:rFonts w:ascii="Times New Roman" w:hAnsi="Times New Roman"/>
          <w:b/>
          <w:i w:val="0"/>
          <w:sz w:val="24"/>
        </w:rPr>
        <w:t>Documento de apoyo — Apartado 5</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Estado del arte: metodología de la revisión, flujo de selección y hallazgos</w:t>
      </w:r>
    </w:p>
    <w:p>
      <w:pPr>
        <w:spacing w:after="120"/>
      </w:pPr>
      <w:r>
        <w:rPr>
          <w:rFonts w:ascii="Times New Roman" w:hAnsi="Times New Roman"/>
          <w:b w:val="0"/>
          <w:sz w:val="24"/>
        </w:rPr>
        <w:t xml:space="preserve">Documento de apoyo para el apartado 5 del anteproyecto. Preparado el 3 de agosto de 2026. Donde dice </w:t>
      </w:r>
      <w:r>
        <w:rPr>
          <w:rFonts w:ascii="Times New Roman" w:hAnsi="Times New Roman"/>
          <w:b w:val="0"/>
          <w:color w:val="CC0000"/>
          <w:sz w:val="24"/>
        </w:rPr>
        <w:t>〔TU VOZ: …〕</w:t>
      </w:r>
      <w:r>
        <w:rPr>
          <w:rFonts w:ascii="Times New Roman" w:hAnsi="Times New Roman"/>
          <w:b w:val="0"/>
          <w:sz w:val="24"/>
        </w:rPr>
        <w:t xml:space="preserve"> va tu aporte.</w:t>
      </w:r>
    </w:p>
    <w:p>
      <w:pPr>
        <w:spacing w:before="200" w:after="80"/>
      </w:pPr>
      <w:r>
        <w:rPr>
          <w:rFonts w:ascii="Times New Roman" w:hAnsi="Times New Roman"/>
          <w:b/>
          <w:color w:val="2E5A87"/>
          <w:sz w:val="26"/>
        </w:rPr>
        <w:t>Por qué existe este documento</w:t>
      </w:r>
    </w:p>
    <w:p>
      <w:pPr>
        <w:spacing w:after="120"/>
      </w:pPr>
      <w:r>
        <w:rPr>
          <w:rFonts w:ascii="Times New Roman" w:hAnsi="Times New Roman"/>
          <w:b w:val="0"/>
          <w:sz w:val="24"/>
        </w:rPr>
        <w:t>Un estado del arte doctoral no se juzga por la cantidad de textos que reúne, sino por la posibilidad de que otro investigador repita la búsqueda y llegue a un resultado equivalente. Esa condición —que la estrategia sea replicable— es la que le da carácter científico al apartado y la que permite sostener, frente a un jurado, que el vacío identificado es un hallazgo y no una impresión. Este documento aporta las tres piezas que ese estándar exige: la metodología de la búsqueda, el flujo de selección con sus números, y la presentación de los hallazgos organizada de modo que el vacío emerja de lo que sí existe.</w:t>
      </w:r>
    </w:p>
    <w:p>
      <w:pPr>
        <w:spacing w:before="200" w:after="80"/>
      </w:pPr>
      <w:r>
        <w:rPr>
          <w:rFonts w:ascii="Times New Roman" w:hAnsi="Times New Roman"/>
          <w:b/>
          <w:color w:val="2E5A87"/>
          <w:sz w:val="26"/>
        </w:rPr>
        <w:t>1. Metodología de la revisión</w:t>
      </w:r>
    </w:p>
    <w:p>
      <w:pPr>
        <w:spacing w:after="120"/>
      </w:pPr>
      <w:r>
        <w:rPr>
          <w:rFonts w:ascii="Times New Roman" w:hAnsi="Times New Roman"/>
          <w:b/>
          <w:sz w:val="24"/>
        </w:rPr>
        <w:t>1.1 Pregunta que ordena la búsqueda</w:t>
      </w:r>
    </w:p>
    <w:p>
      <w:pPr>
        <w:spacing w:after="120"/>
      </w:pPr>
      <w:r>
        <w:rPr>
          <w:rFonts w:ascii="Times New Roman" w:hAnsi="Times New Roman"/>
          <w:b w:val="0"/>
          <w:sz w:val="24"/>
        </w:rPr>
        <w:t>La revisión se orienta a establecer qué se ha investigado sobre la relación entre las prácticas de inclusión educativa y las vivencias socioemocionales de los estudiantes con dificultades de aprendizaje y de sus docentes, con especial atención a los trabajos que asumen esa relación como experiencia vivida y que la leen con una lente de política.</w:t>
      </w:r>
    </w:p>
    <w:p>
      <w:pPr>
        <w:spacing w:after="120"/>
      </w:pPr>
      <w:r>
        <w:rPr>
          <w:rFonts w:ascii="Times New Roman" w:hAnsi="Times New Roman"/>
          <w:b/>
          <w:sz w:val="24"/>
        </w:rPr>
        <w:t>1.2 Fuentes consultadas</w:t>
      </w:r>
    </w:p>
    <w:p>
      <w:pPr>
        <w:spacing w:after="120"/>
      </w:pPr>
      <w:r>
        <w:rPr>
          <w:rFonts w:ascii="Times New Roman" w:hAnsi="Times New Roman"/>
          <w:b w:val="0"/>
          <w:sz w:val="24"/>
        </w:rPr>
        <w:t>La búsqueda se ejecutó sobre OpenAlex, índice bibliográfico abierto que agrega registros de Crossref, DOAJ, PubMed y repositorios institucionales, lo que permite un barrido multibase con metadatos verificables por DOI.</w:t>
      </w:r>
    </w:p>
    <w:p>
      <w:pPr>
        <w:spacing w:after="120"/>
      </w:pPr>
      <w:r>
        <w:rPr>
          <w:rFonts w:ascii="Times New Roman" w:hAnsi="Times New Roman"/>
          <w:b w:val="0"/>
          <w:color w:val="CC0000"/>
          <w:sz w:val="24"/>
        </w:rPr>
        <w:t>〔TU VOZ / PENDIENTE: completar con la consulta manual en Dialnet, que es la base de referencia del programa, y en los repositorios institucionales de universidades colombianas. Anota para cada una la fecha de consulta y el número de resultados obtenidos, igual que en la tabla de abajo.〕</w:t>
      </w:r>
    </w:p>
    <w:p>
      <w:pPr>
        <w:spacing w:after="120"/>
      </w:pPr>
      <w:r>
        <w:rPr>
          <w:rFonts w:ascii="Times New Roman" w:hAnsi="Times New Roman"/>
          <w:b w:val="0"/>
          <w:sz w:val="24"/>
        </w:rPr>
        <w:t>Limitación declarada: SciELO no pudo consultarse de manera automatizada porque el servicio rechaza las peticiones programáticas; su revisión debe hacerse de forma manual y registrarse con el mismo detalle. Declarar esta limitación no debilita el apartado: lo fortalece, porque delimita con precisión el alcance de lo que se afirma.</w:t>
      </w:r>
    </w:p>
    <w:p>
      <w:pPr>
        <w:spacing w:after="120"/>
      </w:pPr>
      <w:r>
        <w:rPr>
          <w:rFonts w:ascii="Times New Roman" w:hAnsi="Times New Roman"/>
          <w:b/>
          <w:sz w:val="24"/>
        </w:rPr>
        <w:t>1.3 Criterios de inclusión</w:t>
      </w:r>
    </w:p>
    <w:p>
      <w:pPr>
        <w:spacing w:after="120"/>
      </w:pPr>
      <w:r>
        <w:rPr>
          <w:rFonts w:ascii="Times New Roman" w:hAnsi="Times New Roman"/>
          <w:b w:val="0"/>
          <w:sz w:val="24"/>
        </w:rPr>
        <w:t>Se incluyeron trabajos que cumplieran simultáneamente: (a) publicación entre 2020 y 2025; (b) idioma español; (c) tipo artículo científico; (d) identificador DOI verificable; (e) pertinencia temática, entendida como la presencia conjunta de un descriptor del campo de la inclusión o de lo socioemocional y de un descriptor del contexto escolar.</w:t>
      </w:r>
    </w:p>
    <w:p>
      <w:pPr>
        <w:spacing w:after="120"/>
      </w:pPr>
      <w:r>
        <w:rPr>
          <w:rFonts w:ascii="Times New Roman" w:hAnsi="Times New Roman"/>
          <w:b/>
          <w:sz w:val="24"/>
        </w:rPr>
        <w:t>1.4 Criterios de exclusión</w:t>
      </w:r>
    </w:p>
    <w:p>
      <w:pPr>
        <w:spacing w:after="120"/>
      </w:pPr>
      <w:r>
        <w:rPr>
          <w:rFonts w:ascii="Times New Roman" w:hAnsi="Times New Roman"/>
          <w:b w:val="0"/>
          <w:sz w:val="24"/>
        </w:rPr>
        <w:t>Se excluyeron: trabajos de educación superior, de formación universitaria, de educación inicial o preescolar; trabajos del campo de la salud; trabajos cuyo objeto fuera la educación física o el deporte; y registros sin DOI, por no ser verificables.</w:t>
      </w:r>
    </w:p>
    <w:p>
      <w:pPr>
        <w:spacing w:after="120"/>
      </w:pPr>
      <w:r>
        <w:rPr>
          <w:rFonts w:ascii="Times New Roman" w:hAnsi="Times New Roman"/>
          <w:b/>
          <w:sz w:val="24"/>
        </w:rPr>
        <w:t>1.5 Descriptores y ecuaciones de búsqueda</w:t>
      </w:r>
    </w:p>
    <w:p>
      <w:pPr>
        <w:spacing w:after="120"/>
      </w:pPr>
      <w:r>
        <w:rPr>
          <w:rFonts w:ascii="Times New Roman" w:hAnsi="Times New Roman"/>
          <w:b w:val="0"/>
          <w:sz w:val="24"/>
        </w:rPr>
        <w:t>Se emplearon seis ecuaciones, diseñadas para cubrir los distintos vértices del objeto: el cruce inclusión-socioemocionalidad, la vivencia, la lente de política, la experiencia escolar de las dificultades de aprendizaje, el territorio, y el diseño narrativo.</w:t>
      </w:r>
    </w:p>
    <w:p>
      <w:pPr>
        <w:spacing w:after="120"/>
      </w:pPr>
      <w:r>
        <w:rPr>
          <w:rFonts w:ascii="Times New Roman" w:hAnsi="Times New Roman"/>
          <w:b w:val="0"/>
          <w:sz w:val="24"/>
        </w:rPr>
        <w:t>E1. inclusión educativa socioemocional estudiantes secundaria</w:t>
      </w:r>
    </w:p>
    <w:p>
      <w:pPr>
        <w:spacing w:after="120"/>
      </w:pPr>
      <w:r>
        <w:rPr>
          <w:rFonts w:ascii="Times New Roman" w:hAnsi="Times New Roman"/>
          <w:b w:val="0"/>
          <w:sz w:val="24"/>
        </w:rPr>
        <w:t>E2. vivencias socioemocionales dificultades de aprendizaje</w:t>
      </w:r>
    </w:p>
    <w:p>
      <w:pPr>
        <w:spacing w:after="120"/>
      </w:pPr>
      <w:r>
        <w:rPr>
          <w:rFonts w:ascii="Times New Roman" w:hAnsi="Times New Roman"/>
          <w:b w:val="0"/>
          <w:sz w:val="24"/>
        </w:rPr>
        <w:t>E3. educación inclusiva bienestar socioemocional política educativa</w:t>
      </w:r>
    </w:p>
    <w:p>
      <w:pPr>
        <w:spacing w:after="120"/>
      </w:pPr>
      <w:r>
        <w:rPr>
          <w:rFonts w:ascii="Times New Roman" w:hAnsi="Times New Roman"/>
          <w:b w:val="0"/>
          <w:sz w:val="24"/>
        </w:rPr>
        <w:t>E4. dificultades de aprendizaje experiencia escolar secundaria</w:t>
      </w:r>
    </w:p>
    <w:p>
      <w:pPr>
        <w:spacing w:after="120"/>
      </w:pPr>
      <w:r>
        <w:rPr>
          <w:rFonts w:ascii="Times New Roman" w:hAnsi="Times New Roman"/>
          <w:b w:val="0"/>
          <w:sz w:val="24"/>
        </w:rPr>
        <w:t>E5. inclusión educativa rural Colombia política</w:t>
      </w:r>
    </w:p>
    <w:p>
      <w:pPr>
        <w:spacing w:after="120"/>
      </w:pPr>
      <w:r>
        <w:rPr>
          <w:rFonts w:ascii="Times New Roman" w:hAnsi="Times New Roman"/>
          <w:b w:val="0"/>
          <w:sz w:val="24"/>
        </w:rPr>
        <w:t>E6. investigación narrativa relatos de vida educación inclusiva</w:t>
      </w:r>
    </w:p>
    <w:p>
      <w:pPr>
        <w:spacing w:after="120"/>
      </w:pPr>
      <w:r>
        <w:rPr>
          <w:rFonts w:ascii="Times New Roman" w:hAnsi="Times New Roman"/>
          <w:b/>
          <w:sz w:val="24"/>
        </w:rPr>
        <w:t>1.6 Fecha de ejecución</w:t>
      </w:r>
    </w:p>
    <w:p>
      <w:pPr>
        <w:spacing w:after="120"/>
      </w:pPr>
      <w:r>
        <w:rPr>
          <w:rFonts w:ascii="Times New Roman" w:hAnsi="Times New Roman"/>
          <w:b w:val="0"/>
          <w:sz w:val="24"/>
        </w:rPr>
        <w:t>3 de agosto de 2026.</w:t>
      </w:r>
    </w:p>
    <w:p>
      <w:pPr>
        <w:spacing w:before="200" w:after="80"/>
      </w:pPr>
      <w:r>
        <w:rPr>
          <w:rFonts w:ascii="Times New Roman" w:hAnsi="Times New Roman"/>
          <w:b/>
          <w:color w:val="2E5A87"/>
          <w:sz w:val="26"/>
        </w:rPr>
        <w:t>2. Flujo de selección</w:t>
      </w:r>
    </w:p>
    <w:p>
      <w:pPr>
        <w:spacing w:after="120"/>
      </w:pPr>
      <w:r>
        <w:rPr>
          <w:rFonts w:ascii="Times New Roman" w:hAnsi="Times New Roman"/>
          <w:b/>
          <w:sz w:val="24"/>
        </w:rPr>
        <w:t>2.1 Resultados por ecuación</w:t>
      </w:r>
    </w:p>
    <w:p>
      <w:pPr>
        <w:spacing w:after="120"/>
      </w:pPr>
      <w:r>
        <w:rPr>
          <w:rFonts w:ascii="Times New Roman" w:hAnsi="Times New Roman"/>
          <w:b w:val="0"/>
          <w:sz w:val="24"/>
        </w:rPr>
        <w:t>La tabla registra, para cada ecuación, el total de registros que devuelve la base con los filtros aplicados y el número efectivamente recuperado para el cribado.</w:t>
      </w:r>
    </w:p>
    <w:p>
      <w:pPr>
        <w:spacing w:after="120"/>
      </w:pPr>
      <w:r>
        <w:rPr>
          <w:rFonts w:ascii="Times New Roman" w:hAnsi="Times New Roman"/>
          <w:b w:val="0"/>
          <w:sz w:val="24"/>
        </w:rPr>
        <w:t>E1 — total en base: 201 · recuperados: 50</w:t>
      </w:r>
    </w:p>
    <w:p>
      <w:pPr>
        <w:spacing w:after="120"/>
      </w:pPr>
      <w:r>
        <w:rPr>
          <w:rFonts w:ascii="Times New Roman" w:hAnsi="Times New Roman"/>
          <w:b w:val="0"/>
          <w:sz w:val="24"/>
        </w:rPr>
        <w:t>E2 — total en base: 875 · recuperados: 50</w:t>
      </w:r>
    </w:p>
    <w:p>
      <w:pPr>
        <w:spacing w:after="120"/>
      </w:pPr>
      <w:r>
        <w:rPr>
          <w:rFonts w:ascii="Times New Roman" w:hAnsi="Times New Roman"/>
          <w:b w:val="0"/>
          <w:sz w:val="24"/>
        </w:rPr>
        <w:t>E3 — total en base: 22 · recuperados: 22</w:t>
      </w:r>
    </w:p>
    <w:p>
      <w:pPr>
        <w:spacing w:after="120"/>
      </w:pPr>
      <w:r>
        <w:rPr>
          <w:rFonts w:ascii="Times New Roman" w:hAnsi="Times New Roman"/>
          <w:b w:val="0"/>
          <w:sz w:val="24"/>
        </w:rPr>
        <w:t>E4 — total en base: 12.960 · recuperados: 50</w:t>
      </w:r>
    </w:p>
    <w:p>
      <w:pPr>
        <w:spacing w:after="120"/>
      </w:pPr>
      <w:r>
        <w:rPr>
          <w:rFonts w:ascii="Times New Roman" w:hAnsi="Times New Roman"/>
          <w:b w:val="0"/>
          <w:sz w:val="24"/>
        </w:rPr>
        <w:t>E5 — total en base: 66 · recuperados: 50</w:t>
      </w:r>
    </w:p>
    <w:p>
      <w:pPr>
        <w:spacing w:after="120"/>
      </w:pPr>
      <w:r>
        <w:rPr>
          <w:rFonts w:ascii="Times New Roman" w:hAnsi="Times New Roman"/>
          <w:b w:val="0"/>
          <w:sz w:val="24"/>
        </w:rPr>
        <w:t>E6 — total en base: 26 · recuperados: 26</w:t>
      </w:r>
    </w:p>
    <w:p>
      <w:pPr>
        <w:spacing w:after="120"/>
      </w:pPr>
      <w:r>
        <w:rPr>
          <w:rFonts w:ascii="Times New Roman" w:hAnsi="Times New Roman"/>
          <w:b w:val="0"/>
          <w:sz w:val="24"/>
        </w:rPr>
        <w:t>Observación metodológica: la ecuación E4 devuelve casi trece mil registros, lo que indica que sus descriptores son demasiado amplios y que recupera trabajos sobre dificultades de aprendizaje sin relación con el objeto. Una ecuación que devuelve ese volumen debe afinarse con operadores más restrictivos antes de la versión definitiva. Se deja consignada porque documentar una ecuación imprecisa, y explicar por qué lo es, forma parte del rigor de la estrategia.</w:t>
      </w:r>
    </w:p>
    <w:p>
      <w:pPr>
        <w:spacing w:after="120"/>
      </w:pPr>
      <w:r>
        <w:rPr>
          <w:rFonts w:ascii="Times New Roman" w:hAnsi="Times New Roman"/>
          <w:b/>
          <w:sz w:val="24"/>
        </w:rPr>
        <w:t>2.2 Flujo, etapa por etapa</w:t>
      </w:r>
    </w:p>
    <w:p>
      <w:pPr>
        <w:spacing w:after="120"/>
      </w:pPr>
      <w:r>
        <w:rPr>
          <w:rFonts w:ascii="Times New Roman" w:hAnsi="Times New Roman"/>
          <w:b w:val="0"/>
          <w:sz w:val="24"/>
        </w:rPr>
        <w:t>Identificación — registros recuperados de las seis ecuaciones: 248</w:t>
      </w:r>
    </w:p>
    <w:p>
      <w:pPr>
        <w:spacing w:after="120"/>
      </w:pPr>
      <w:r>
        <w:rPr>
          <w:rFonts w:ascii="Times New Roman" w:hAnsi="Times New Roman"/>
          <w:b w:val="0"/>
          <w:sz w:val="24"/>
        </w:rPr>
        <w:t>Eliminación de duplicados — registros únicos: 244 (se retiran 4 duplicados)</w:t>
      </w:r>
    </w:p>
    <w:p>
      <w:pPr>
        <w:spacing w:after="120"/>
      </w:pPr>
      <w:r>
        <w:rPr>
          <w:rFonts w:ascii="Times New Roman" w:hAnsi="Times New Roman"/>
          <w:b w:val="0"/>
          <w:sz w:val="24"/>
        </w:rPr>
        <w:t>Primer cribado, verificabilidad — registros con DOI: 237 (se retiran 7 sin identificador)</w:t>
      </w:r>
    </w:p>
    <w:p>
      <w:pPr>
        <w:spacing w:after="120"/>
      </w:pPr>
      <w:r>
        <w:rPr>
          <w:rFonts w:ascii="Times New Roman" w:hAnsi="Times New Roman"/>
          <w:b w:val="0"/>
          <w:sz w:val="24"/>
        </w:rPr>
        <w:t>Segundo cribado, pertinencia temática por título — registros pertinentes: 37 (se retiran 200)</w:t>
      </w:r>
    </w:p>
    <w:p>
      <w:pPr>
        <w:spacing w:after="120"/>
      </w:pPr>
      <w:r>
        <w:rPr>
          <w:rFonts w:ascii="Times New Roman" w:hAnsi="Times New Roman"/>
          <w:b w:val="0"/>
          <w:sz w:val="24"/>
        </w:rPr>
        <w:t xml:space="preserve">Elegibilidad — lectura de resumen y texto completo: </w:t>
      </w:r>
      <w:r>
        <w:rPr>
          <w:rFonts w:ascii="Times New Roman" w:hAnsi="Times New Roman"/>
          <w:b w:val="0"/>
          <w:color w:val="CC0000"/>
          <w:sz w:val="24"/>
        </w:rPr>
        <w:t>〔TU VOZ: número que quede tras tu lectura〕</w:t>
      </w:r>
    </w:p>
    <w:p>
      <w:pPr>
        <w:spacing w:after="120"/>
      </w:pPr>
      <w:r>
        <w:rPr>
          <w:rFonts w:ascii="Times New Roman" w:hAnsi="Times New Roman"/>
          <w:b w:val="0"/>
          <w:sz w:val="24"/>
        </w:rPr>
        <w:t xml:space="preserve">Incluidos en la matriz de antecedentes: </w:t>
      </w:r>
      <w:r>
        <w:rPr>
          <w:rFonts w:ascii="Times New Roman" w:hAnsi="Times New Roman"/>
          <w:b w:val="0"/>
          <w:color w:val="CC0000"/>
          <w:sz w:val="24"/>
        </w:rPr>
        <w:t>〔TU VOZ: número final〕</w:t>
      </w:r>
    </w:p>
    <w:p>
      <w:pPr>
        <w:spacing w:after="120"/>
      </w:pPr>
      <w:r>
        <w:rPr>
          <w:rFonts w:ascii="Times New Roman" w:hAnsi="Times New Roman"/>
          <w:b/>
          <w:sz w:val="24"/>
        </w:rPr>
        <w:t>2.3 Sobre la literatura gris</w:t>
      </w:r>
    </w:p>
    <w:p>
      <w:pPr>
        <w:spacing w:after="120"/>
      </w:pPr>
      <w:r>
        <w:rPr>
          <w:rFonts w:ascii="Times New Roman" w:hAnsi="Times New Roman"/>
          <w:b w:val="0"/>
          <w:sz w:val="24"/>
        </w:rPr>
        <w:t>La estrategia no recurre a literatura gris. El volumen de resultados obtenido en bases indexadas es suficiente para sostener el estado del arte, y ese es el criterio que corresponde: la literatura gris se justifica cuando el campo es tan incipiente que las bases no devuelven material suficiente, lo que no ocurre aquí. Las tesis doctorales que se incorporen desde repositorios institucionales no se cuentan como literatura gris, porque son trabajos evaluados y depositados con identificador.</w:t>
      </w:r>
    </w:p>
    <w:p>
      <w:pPr>
        <w:spacing w:before="200" w:after="80"/>
      </w:pPr>
      <w:r>
        <w:rPr>
          <w:rFonts w:ascii="Times New Roman" w:hAnsi="Times New Roman"/>
          <w:b/>
          <w:color w:val="2E5A87"/>
          <w:sz w:val="26"/>
        </w:rPr>
        <w:t>3. Resultados: qué hay</w:t>
      </w:r>
    </w:p>
    <w:p>
      <w:pPr>
        <w:spacing w:after="120"/>
      </w:pPr>
      <w:r>
        <w:rPr>
          <w:rFonts w:ascii="Times New Roman" w:hAnsi="Times New Roman"/>
          <w:b w:val="0"/>
          <w:sz w:val="24"/>
        </w:rPr>
        <w:t>Los treinta y siete trabajos pertinentes se distribuyen en cuatro grupos, y esa distribución es en sí misma un hallazgo.</w:t>
      </w:r>
    </w:p>
    <w:p>
      <w:pPr>
        <w:spacing w:after="120"/>
      </w:pPr>
      <w:r>
        <w:rPr>
          <w:rFonts w:ascii="Times New Roman" w:hAnsi="Times New Roman"/>
          <w:b/>
          <w:sz w:val="24"/>
        </w:rPr>
        <w:t>3.1 El grupo dominante: lo socioemocional como competencia a desarrollar</w:t>
      </w:r>
    </w:p>
    <w:p>
      <w:pPr>
        <w:spacing w:after="120"/>
      </w:pPr>
      <w:r>
        <w:rPr>
          <w:rFonts w:ascii="Times New Roman" w:hAnsi="Times New Roman"/>
          <w:b w:val="0"/>
          <w:sz w:val="24"/>
        </w:rPr>
        <w:t>La mayor parte del corpus aborda lo socioemocional como un conjunto de habilidades o competencias que la escuela debe desarrollar, y se organiza en torno a estrategias, programas o talleres para lograrlo: actividades lúdicas, arte, música, neurociencia aplicada, resiliencia en el aula. El registro predominante es propositivo —qué hacer para desarrollar esas competencias— y el diseño frecuente es la revisión sistemática o el estudio de intervención.</w:t>
      </w:r>
    </w:p>
    <w:p>
      <w:pPr>
        <w:spacing w:after="120"/>
      </w:pPr>
      <w:r>
        <w:rPr>
          <w:rFonts w:ascii="Times New Roman" w:hAnsi="Times New Roman"/>
          <w:b/>
          <w:sz w:val="24"/>
        </w:rPr>
        <w:t>3.2 El segundo grupo: el foco puesto en el docente</w:t>
      </w:r>
    </w:p>
    <w:p>
      <w:pPr>
        <w:spacing w:after="120"/>
      </w:pPr>
      <w:r>
        <w:rPr>
          <w:rFonts w:ascii="Times New Roman" w:hAnsi="Times New Roman"/>
          <w:b w:val="0"/>
          <w:sz w:val="24"/>
        </w:rPr>
        <w:t>Un conjunto amplio desplaza el objeto hacia el profesorado: competencias socioemocionales docentes, formación del profesorado en inclusión, respuesta emocional del docente ante la demanda del aula, necesidades emocionales de los maestros. El estudiante aparece como destinatario de la práctica, no como sujeto que narra su experiencia.</w:t>
      </w:r>
    </w:p>
    <w:p>
      <w:pPr>
        <w:spacing w:after="120"/>
      </w:pPr>
      <w:r>
        <w:rPr>
          <w:rFonts w:ascii="Times New Roman" w:hAnsi="Times New Roman"/>
          <w:b/>
          <w:sz w:val="24"/>
        </w:rPr>
        <w:t>3.3 El tercer grupo, minoritario: la lente de política</w:t>
      </w:r>
    </w:p>
    <w:p>
      <w:pPr>
        <w:spacing w:after="120"/>
      </w:pPr>
      <w:r>
        <w:rPr>
          <w:rFonts w:ascii="Times New Roman" w:hAnsi="Times New Roman"/>
          <w:b w:val="0"/>
          <w:sz w:val="24"/>
        </w:rPr>
        <w:t>Solo unos pocos trabajos leen la inclusión como política puesta en acto. Destacan, por su cercanía con el enfoque de esta investigación, el análisis de las traducciones que las educadoras diferenciales hacen de las políticas de inclusión en el mercado educativo chileno (Inostroza, 2022) y el estudio de la inclusión de migrantes publicado en Education Policy Analysis Archives (Gelber et al., 2021). Son la excepción, no la norma.</w:t>
      </w:r>
    </w:p>
    <w:p>
      <w:pPr>
        <w:spacing w:after="120"/>
      </w:pPr>
      <w:r>
        <w:rPr>
          <w:rFonts w:ascii="Times New Roman" w:hAnsi="Times New Roman"/>
          <w:b/>
          <w:sz w:val="24"/>
        </w:rPr>
        <w:t>3.4 El cuarto grupo, casi vacío: el diseño biográfico-narrativo</w:t>
      </w:r>
    </w:p>
    <w:p>
      <w:pPr>
        <w:spacing w:after="120"/>
      </w:pPr>
      <w:r>
        <w:rPr>
          <w:rFonts w:ascii="Times New Roman" w:hAnsi="Times New Roman"/>
          <w:b w:val="0"/>
          <w:sz w:val="24"/>
        </w:rPr>
        <w:t>La ecuación específica sobre investigación narrativa y relatos de vida en educación inclusiva devuelve apenas veintiséis registros en toda la base para el período, y de ellos resulta pertinente un solo trabajo de peso: un estudio biográfico-narrativo sobre experiencia escolar, diversidad y ciudadanía justa (González Alba, Cortés González y Rivas-Flores, 2020). Ese dato —veintiséis registros frente a los ochocientos setenta y cinco de la ecuación sobre vivencias socioemocionales— dimensiona con precisión cuán poco transitado está el camino que esta tesis propone.</w:t>
      </w:r>
    </w:p>
    <w:p>
      <w:pPr>
        <w:spacing w:after="120"/>
      </w:pPr>
      <w:r>
        <w:rPr>
          <w:rFonts w:ascii="Times New Roman" w:hAnsi="Times New Roman"/>
          <w:b w:val="0"/>
          <w:color w:val="CC0000"/>
          <w:sz w:val="24"/>
        </w:rPr>
        <w:t>〔TU VOZ: cuando fiches los trabajos, suma aquí dos o tres hallazgos concretos de cada grupo, con la referencia.〕</w:t>
      </w:r>
    </w:p>
    <w:p>
      <w:pPr>
        <w:spacing w:before="200" w:after="80"/>
      </w:pPr>
      <w:r>
        <w:rPr>
          <w:rFonts w:ascii="Times New Roman" w:hAnsi="Times New Roman"/>
          <w:b/>
          <w:color w:val="2E5A87"/>
          <w:sz w:val="26"/>
        </w:rPr>
        <w:t>4. Lo que no hay: el vacío</w:t>
      </w:r>
    </w:p>
    <w:p>
      <w:pPr>
        <w:spacing w:after="120"/>
      </w:pPr>
      <w:r>
        <w:rPr>
          <w:rFonts w:ascii="Times New Roman" w:hAnsi="Times New Roman"/>
          <w:b w:val="0"/>
          <w:sz w:val="24"/>
        </w:rPr>
        <w:t>De la descripción anterior se desprende, por contraste, lo que el campo no ha producido. No se trata de una ausencia declarada de antemano, sino de la que emerge al ordenar lo existente.</w:t>
      </w:r>
    </w:p>
    <w:p>
      <w:pPr>
        <w:spacing w:after="120"/>
      </w:pPr>
      <w:r>
        <w:rPr>
          <w:rFonts w:ascii="Times New Roman" w:hAnsi="Times New Roman"/>
          <w:b w:val="0"/>
          <w:sz w:val="24"/>
        </w:rPr>
        <w:t>Primero, no hay trabajos que aborden lo socioemocional de la inclusión como vivencia narrada por el propio estudiante con dificultades de aprendizaje. Cuando el estudiante aparece, lo hace como beneficiario de una estrategia o como sujeto evaluado, no como narrador de su experiencia.</w:t>
      </w:r>
    </w:p>
    <w:p>
      <w:pPr>
        <w:spacing w:after="120"/>
      </w:pPr>
      <w:r>
        <w:rPr>
          <w:rFonts w:ascii="Times New Roman" w:hAnsi="Times New Roman"/>
          <w:b w:val="0"/>
          <w:sz w:val="24"/>
        </w:rPr>
        <w:t>Segundo, no hay trabajos que lean esa vivencia con una lente de política. Los que asumen la perspectiva de política se ocupan de la implementación o de la traducción docente de la norma, pero no de cómo esa política se vive emocionalmente en el aula.</w:t>
      </w:r>
    </w:p>
    <w:p>
      <w:pPr>
        <w:spacing w:after="120"/>
      </w:pPr>
      <w:r>
        <w:rPr>
          <w:rFonts w:ascii="Times New Roman" w:hAnsi="Times New Roman"/>
          <w:b w:val="0"/>
          <w:sz w:val="24"/>
        </w:rPr>
        <w:t>Tercero, el diseño biográfico-narrativo está prácticamente ausente del cruce entre inclusión y socioemocionalidad, pese a ser el diseño que mejor corresponde a un objeto definido como experiencia vivida.</w:t>
      </w:r>
    </w:p>
    <w:p>
      <w:pPr>
        <w:spacing w:after="120"/>
      </w:pPr>
      <w:r>
        <w:rPr>
          <w:rFonts w:ascii="Times New Roman" w:hAnsi="Times New Roman"/>
          <w:b w:val="0"/>
          <w:sz w:val="24"/>
        </w:rPr>
        <w:t>Cuarto, la producción disponible se concentra en contextos urbanos o no especifica el territorio; el contraste entre lo semirural y lo urbano no aparece problematizado.</w:t>
      </w:r>
    </w:p>
    <w:p>
      <w:pPr>
        <w:spacing w:after="120"/>
      </w:pPr>
      <w:r>
        <w:rPr>
          <w:rFonts w:ascii="Times New Roman" w:hAnsi="Times New Roman"/>
          <w:b w:val="0"/>
          <w:sz w:val="24"/>
        </w:rPr>
        <w:t>El cruce que esta investigación propone —vivencia narrada, relación inclusión-socioemocionalidad, dos voces, lente de política y contraste territorial— no está ocupado por ningún trabajo del corpus revisado. Ese es el vacío, y de él se derivan las preguntas orientadoras del estudio.</w:t>
      </w:r>
    </w:p>
    <w:p>
      <w:pPr>
        <w:spacing w:before="200" w:after="80"/>
      </w:pPr>
      <w:r>
        <w:rPr>
          <w:rFonts w:ascii="Times New Roman" w:hAnsi="Times New Roman"/>
          <w:b/>
          <w:color w:val="2E5A87"/>
          <w:sz w:val="26"/>
        </w:rPr>
        <w:t>5. Trabajos de mayor pertinencia recuperados</w:t>
      </w:r>
    </w:p>
    <w:p>
      <w:pPr>
        <w:spacing w:after="120"/>
      </w:pPr>
      <w:r>
        <w:rPr>
          <w:rFonts w:ascii="Times New Roman" w:hAnsi="Times New Roman"/>
          <w:b w:val="0"/>
          <w:sz w:val="24"/>
        </w:rPr>
        <w:t>Los siguientes se destacan por su cercanía con el objeto o con el diseño, y deben incorporarse a la matriz de antecedentes con ficha completa.</w:t>
      </w:r>
    </w:p>
    <w:p>
      <w:pPr>
        <w:spacing w:after="120"/>
      </w:pPr>
      <w:r>
        <w:rPr>
          <w:rFonts w:ascii="Times New Roman" w:hAnsi="Times New Roman"/>
          <w:b w:val="0"/>
          <w:sz w:val="24"/>
        </w:rPr>
        <w:t>González Alba, B., Cortés González, P. y Rivas-Flores, J. I. (2020). Experiencia escolar, diversidad y ciudadanía justa. Un estudio biográfico-narrativo. Revista Internacional de Educación para la Justicia Social, 9(1). https://doi.org/10.15366/riejs2020.9.1.002 — El antecedente metodológico más importante del corpus: aplica diseño biográfico-narrativo a la experiencia escolar y la diversidad. Es el trabajo con el que hay que dialogar para justificar el diseño.</w:t>
      </w:r>
    </w:p>
    <w:p>
      <w:pPr>
        <w:spacing w:after="120"/>
      </w:pPr>
      <w:r>
        <w:rPr>
          <w:rFonts w:ascii="Times New Roman" w:hAnsi="Times New Roman"/>
          <w:b w:val="0"/>
          <w:sz w:val="24"/>
        </w:rPr>
        <w:t>Inostroza, F. A. (2022). Traducciones de las educadoras diferenciales en torno a las políticas de inclusión escolar en el mercado educativo. RIDE, 12(24). https://doi.org/10.23913/ride.v12i24.1219 — Lente de política aplicada a la inclusión: cómo las profesionales traducen la norma. Cercano a la noción de puesta en acto.</w:t>
      </w:r>
    </w:p>
    <w:p>
      <w:pPr>
        <w:spacing w:after="120"/>
      </w:pPr>
      <w:r>
        <w:rPr>
          <w:rFonts w:ascii="Times New Roman" w:hAnsi="Times New Roman"/>
          <w:b w:val="0"/>
          <w:sz w:val="24"/>
        </w:rPr>
        <w:t>Núñez-Flores, M. y Llorent, V. J. (2022). La educación inclusiva y su relación con las competencias socioemocionales y morales del profesorado. Aula Abierta, 51(2), 171–180. https://doi.org/10.17811/rifie.51.2.2022.171-180 — Refuerza la línea de Llorent que ya está en el marco teórico y documenta el cruce desde el profesorado.</w:t>
      </w:r>
    </w:p>
    <w:p>
      <w:pPr>
        <w:spacing w:after="120"/>
      </w:pPr>
      <w:r>
        <w:rPr>
          <w:rFonts w:ascii="Times New Roman" w:hAnsi="Times New Roman"/>
          <w:b w:val="0"/>
          <w:sz w:val="24"/>
        </w:rPr>
        <w:t>Pedraza Vargas, S. F. y Cortés, J. (2023). Espacios incluyentes: respuesta emocional del docente frente a la demanda interaccional. Revista Latinoamericana Ogmios, 3(8). https://doi.org/10.53595/rlo.v3.i8.083 — Colombiano. Aborda la respuesta emocional del docente, que es la segunda voz del corpus narrativo de esta tesis.</w:t>
      </w:r>
    </w:p>
    <w:p>
      <w:pPr>
        <w:spacing w:after="120"/>
      </w:pPr>
      <w:r>
        <w:rPr>
          <w:rFonts w:ascii="Times New Roman" w:hAnsi="Times New Roman"/>
          <w:b w:val="0"/>
          <w:sz w:val="24"/>
        </w:rPr>
        <w:t>Gelber, D., Ávila Reyes, N. y Espinosa, M. J. (2021). Mitos y realidades sobre la inclusión de migrantes en aulas chilenas: el caso de la escritura. Education Policy Analysis Archives, 29. https://doi.org/10.14507/epaa.29.5801 — Publicado en una revista de análisis de política educativa; modelo de cómo se argumenta la inclusión desde esa lente.</w:t>
      </w:r>
    </w:p>
    <w:p>
      <w:pPr>
        <w:spacing w:after="120"/>
      </w:pPr>
      <w:r>
        <w:rPr>
          <w:rFonts w:ascii="Times New Roman" w:hAnsi="Times New Roman"/>
          <w:b w:val="0"/>
          <w:sz w:val="24"/>
        </w:rPr>
        <w:t>Marulanda Páez, E. y Sánchez-Vallejo, A. (2021). «En mi aula sí se puede»: propuesta de un modelo de formación en educación inclusiva y discapacidad para maestros. Revista de Estudios y Experiencias en Educación, 20(43). https://doi.org/10.21703/0718-5162.v20.n43.2021.019 — Colombiano, de la Pontificia Universidad Javeriana.</w:t>
      </w:r>
    </w:p>
    <w:p>
      <w:pPr>
        <w:spacing w:after="120"/>
      </w:pPr>
      <w:r>
        <w:rPr>
          <w:rFonts w:ascii="Times New Roman" w:hAnsi="Times New Roman"/>
          <w:b w:val="0"/>
          <w:sz w:val="24"/>
        </w:rPr>
        <w:t>Gómez Molina, H. A., Romero Díaz, C. H. y Molina, C. (2024). Las habilidades socioemocionales en la educación primaria y secundaria de las instituciones públicas. Revista En-contexto. https://doi.org/10.53995/23463279.1723 — Colombiano y en instituciones públicas; sirve para caracterizar el enfoque dominante que esta tesis discute.</w:t>
      </w:r>
    </w:p>
    <w:p>
      <w:pPr>
        <w:spacing w:after="120"/>
      </w:pPr>
      <w:r>
        <w:rPr>
          <w:rFonts w:ascii="Times New Roman" w:hAnsi="Times New Roman"/>
          <w:b w:val="0"/>
          <w:sz w:val="24"/>
        </w:rPr>
        <w:t>Advertencia de verificación: los metadatos automáticos rompen con frecuencia los apellidos compuestos y a veces alteran el volumen o el número. Antes de citar cualquiera de estos trabajos en el documento definitivo, hay que abrir el texto y cotejar cómo firma cada autor y cuáles son los datos exactos de la publicación.</w:t>
      </w:r>
    </w:p>
    <w:p>
      <w:pPr>
        <w:spacing w:before="200" w:after="80"/>
      </w:pPr>
      <w:r>
        <w:rPr>
          <w:rFonts w:ascii="Times New Roman" w:hAnsi="Times New Roman"/>
          <w:b/>
          <w:color w:val="2E5A87"/>
          <w:sz w:val="26"/>
        </w:rPr>
        <w:t>6. Internacionalización: glosario de siglas</w:t>
      </w:r>
    </w:p>
    <w:p>
      <w:pPr>
        <w:spacing w:after="120"/>
      </w:pPr>
      <w:r>
        <w:rPr>
          <w:rFonts w:ascii="Times New Roman" w:hAnsi="Times New Roman"/>
          <w:b w:val="0"/>
          <w:sz w:val="24"/>
        </w:rPr>
        <w:t>Una tesis doctoral se escribe para ser leída por evaluadores que no conocen el sistema educativo colombiano. Toda sigla local debe desplegarse la primera vez que aparece y, cuando exista, acompañarse de su equivalencia conceptual internacional. La lista siguiente cubre las que hoy aparecen en el anteproyecto.</w:t>
      </w:r>
    </w:p>
    <w:p>
      <w:pPr>
        <w:spacing w:after="120"/>
      </w:pPr>
      <w:r>
        <w:rPr>
          <w:rFonts w:ascii="Times New Roman" w:hAnsi="Times New Roman"/>
          <w:b w:val="0"/>
          <w:sz w:val="24"/>
        </w:rPr>
        <w:t>DUA — Diseño Universal para el Aprendizaje. Equivale al Universal Design for Learning (UDL) de la literatura anglosajona.</w:t>
      </w:r>
    </w:p>
    <w:p>
      <w:pPr>
        <w:spacing w:after="120"/>
      </w:pPr>
      <w:r>
        <w:rPr>
          <w:rFonts w:ascii="Times New Roman" w:hAnsi="Times New Roman"/>
          <w:b w:val="0"/>
          <w:sz w:val="24"/>
        </w:rPr>
        <w:t>PIAR — Plan Individual de Ajustes Razonables. Instrumento colombiano de planeación individual; su análogo funcional en el mundo anglosajón es el Individualized Education Program (IEP).</w:t>
      </w:r>
    </w:p>
    <w:p>
      <w:pPr>
        <w:spacing w:after="120"/>
      </w:pPr>
      <w:r>
        <w:rPr>
          <w:rFonts w:ascii="Times New Roman" w:hAnsi="Times New Roman"/>
          <w:b w:val="0"/>
          <w:sz w:val="24"/>
        </w:rPr>
        <w:t>SIMAT — Sistema Integrado de Matrícula. Registro nacional de matrícula donde se reporta la condición de discapacidad del estudiante; de ese registro depende la asignación de apoyos.</w:t>
      </w:r>
    </w:p>
    <w:p>
      <w:pPr>
        <w:spacing w:after="120"/>
      </w:pPr>
      <w:r>
        <w:rPr>
          <w:rFonts w:ascii="Times New Roman" w:hAnsi="Times New Roman"/>
          <w:b w:val="0"/>
          <w:sz w:val="24"/>
        </w:rPr>
        <w:t>PEI — Proyecto Educativo Institucional. Documento rector de cada establecimiento, equivalente al school project o institutional education plan.</w:t>
      </w:r>
    </w:p>
    <w:p>
      <w:pPr>
        <w:spacing w:after="120"/>
      </w:pPr>
      <w:r>
        <w:rPr>
          <w:rFonts w:ascii="Times New Roman" w:hAnsi="Times New Roman"/>
          <w:b w:val="0"/>
          <w:sz w:val="24"/>
        </w:rPr>
        <w:t>ETC — Entidad Territorial Certificada. Autoridad educativa intermedia (secretaría de educación departamental o municipal) con competencias delegadas; equivale a un local education authority.</w:t>
      </w:r>
    </w:p>
    <w:p>
      <w:pPr>
        <w:spacing w:after="120"/>
      </w:pPr>
      <w:r>
        <w:rPr>
          <w:rFonts w:ascii="Times New Roman" w:hAnsi="Times New Roman"/>
          <w:b w:val="0"/>
          <w:sz w:val="24"/>
        </w:rPr>
        <w:t>MEN — Ministerio de Educación Nacional de Colombia.</w:t>
      </w:r>
    </w:p>
    <w:p>
      <w:pPr>
        <w:spacing w:after="120"/>
      </w:pPr>
      <w:r>
        <w:rPr>
          <w:rFonts w:ascii="Times New Roman" w:hAnsi="Times New Roman"/>
          <w:b w:val="0"/>
          <w:sz w:val="24"/>
        </w:rPr>
        <w:t>ICFES — Instituto Colombiano para la Evaluación de la Educación. Organismo nacional de evaluación; administra la prueba Saber 11, examen estandarizado de fin de educación media.</w:t>
      </w:r>
    </w:p>
    <w:p>
      <w:pPr>
        <w:spacing w:after="120"/>
      </w:pPr>
      <w:r>
        <w:rPr>
          <w:rFonts w:ascii="Times New Roman" w:hAnsi="Times New Roman"/>
          <w:b w:val="0"/>
          <w:sz w:val="24"/>
        </w:rPr>
        <w:t>LEE — Laboratorio de Economía de la Educación de la Pontificia Universidad Javeriana. Centro de análisis estadístico del sector educativo.</w:t>
      </w:r>
    </w:p>
    <w:p>
      <w:pPr>
        <w:spacing w:after="120"/>
      </w:pPr>
      <w:r>
        <w:rPr>
          <w:rFonts w:ascii="Times New Roman" w:hAnsi="Times New Roman"/>
          <w:b w:val="0"/>
          <w:sz w:val="24"/>
        </w:rPr>
        <w:t>SGP — Sistema General de Participaciones. Mecanismo de transferencia de recursos de la nación a las entidades territoriales.</w:t>
      </w:r>
    </w:p>
    <w:p>
      <w:pPr>
        <w:spacing w:after="120"/>
      </w:pPr>
      <w:r>
        <w:rPr>
          <w:rFonts w:ascii="Times New Roman" w:hAnsi="Times New Roman"/>
          <w:b w:val="0"/>
          <w:sz w:val="24"/>
        </w:rPr>
        <w:t>CASEL — Collaborative for Academic, Social, and Emotional Learning. Marco internacional de referencia del aprendizaje social y emocional.</w:t>
      </w:r>
    </w:p>
    <w:p>
      <w:pPr>
        <w:spacing w:after="120"/>
      </w:pPr>
      <w:r>
        <w:rPr>
          <w:rFonts w:ascii="Times New Roman" w:hAnsi="Times New Roman"/>
          <w:b w:val="0"/>
          <w:sz w:val="24"/>
        </w:rPr>
        <w:t>Recomendación de escritura: además de desplegar la sigla, conviene agregar una oración que explique la función del dispositivo la primera vez que se lo menciona. No basta con decir que PIAR significa Plan Individual de Ajustes Razonables; hay que decir qué hace, quién lo elabora y qué consecuencias tiene que un estudiante lo tenga o no lo tenga.</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De dónde salió este documento. De una devolución que un tutor del programa le hizo a otra estudiante sobre su estado del arte. Lo que se trasladó a tu trabajo son únicamente criterios metodológicos —cómo se documenta una búsqueda, cómo se presenta un flujo de selección, cómo se organiza la presentación de hallazgos, cómo se escribe para un lector internacional—, que son estándares aplicables a cualquier tesis doctoral. No se trasladó nada del contenido de esa otra investigación: ni su objeto, ni sus autores, ni sus categorías. Son dos tesis distintas y así deben permanecer.</w:t>
      </w:r>
    </w:p>
    <w:p>
      <w:pPr>
        <w:spacing w:after="120"/>
      </w:pPr>
      <w:r>
        <w:rPr>
          <w:rFonts w:ascii="Times New Roman" w:hAnsi="Times New Roman"/>
          <w:b w:val="0"/>
          <w:sz w:val="24"/>
        </w:rPr>
        <w:t>Por qué esto te conviene ahora y no en septiembre. Tu asesora te pide la matriz de antecedentes con un mínimo de veinticinco tesis doctorales para el 30 de septiembre. Si construís esa matriz sin registrar la estrategia de búsqueda, vas a tener que reconstruirla después de memoria, y la reconstrucción siempre queda floja. Registrando desde ahora, la matriz llega con su metodología incorporada.</w:t>
      </w:r>
    </w:p>
    <w:p>
      <w:pPr>
        <w:spacing w:after="120"/>
      </w:pPr>
      <w:r>
        <w:rPr>
          <w:rFonts w:ascii="Times New Roman" w:hAnsi="Times New Roman"/>
          <w:b w:val="0"/>
          <w:sz w:val="24"/>
        </w:rPr>
        <w:t>Por qué el número de la ecuación E4 se dejó a la vista. Devuelve casi trece mil registros, lo que significa que está mal formulada. Podría haberse ocultado, pero mostrarla y explicar por qué es imprecisa demuestra control sobre la estrategia. Un jurado valora más a quien identifica la debilidad de su propio instrumento que a quien presenta seis ecuaciones todas perfectas.</w:t>
      </w:r>
    </w:p>
    <w:p>
      <w:pPr>
        <w:spacing w:after="120"/>
      </w:pPr>
      <w:r>
        <w:rPr>
          <w:rFonts w:ascii="Times New Roman" w:hAnsi="Times New Roman"/>
          <w:b w:val="0"/>
          <w:sz w:val="24"/>
        </w:rPr>
        <w:t>El hallazgo más fuerte del ejercicio. La ecuación sobre investigación narrativa y relatos de vida en educación inclusiva devuelve veintiséis registros en toda la base, frente a los ochocientos setenta y cinco de la ecuación sobre vivencias socioemocionales. Esa desproporción es evidencia numérica de tu vacío: no estás afirmando que nadie lo ha hecho, estás mostrando cuánto se ha hecho de lo otro y cuán poco de lo tuyo. Es un argumento mucho más difícil de refutar que la afirmación de que no encontraste antecedentes.</w:t>
      </w:r>
    </w:p>
    <w:p>
      <w:pPr>
        <w:spacing w:after="120"/>
      </w:pPr>
      <w:r>
        <w:rPr>
          <w:rFonts w:ascii="Times New Roman" w:hAnsi="Times New Roman"/>
          <w:b w:val="0"/>
          <w:sz w:val="24"/>
        </w:rPr>
        <w:t>El trabajo con el que tienes que dialogar sí o sí. González Alba, Cortés González y Rivas-Flores (2020), el estudio biográfico-narrativo sobre experiencia escolar y diversidad. Es lo más cercano que existe a lo que vas a hacer. Conviene citarlo explícitamente y marcar en qué te separas de él: ellos trabajan diversidad y ciudadanía, tú trabajas la relación entre inclusión y socioemocionalidad con lente de política y contraste territorial. Mostrar que conoces el trabajo más próximo al tuyo y que sabes dónde termina, es lo que convierte una afirmación de originalidad en un argumento.</w:t>
      </w:r>
    </w:p>
    <w:p>
      <w:pPr>
        <w:spacing w:after="120"/>
      </w:pPr>
      <w:r>
        <w:rPr>
          <w:rFonts w:ascii="Times New Roman" w:hAnsi="Times New Roman"/>
          <w:b w:val="0"/>
          <w:sz w:val="24"/>
        </w:rPr>
        <w:t>Lo que falta y depende de ti. La consulta en Dialnet y en los repositorios institucionales colombianos, con su registro de fecha y número de resultados; la revisión manual de SciELO; y los dos números finales del flujo, que salen de tu lectura de los textos.</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