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Documento de apoyo — Embudo</w:t>
      </w:r>
    </w:p>
    <w:p>
      <w:pPr>
        <w:spacing w:line="480" w:lineRule="auto"/>
        <w:jc w:val="center"/>
      </w:pPr>
      <w:r>
        <w:rPr>
          <w:rFonts w:ascii="Times New Roman" w:hAnsi="Times New Roman"/>
          <w:b w:val="0"/>
          <w:i/>
          <w:sz w:val="24"/>
        </w:rPr>
        <w:t>El Embudo: de lo global a lo local — organización del estado del arte por niveles territoriales</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7 de agosto de 2026</w:t>
      </w:r>
    </w:p>
    <w:p>
      <w:r>
        <w:br w:type="page"/>
      </w:r>
    </w:p>
    <w:p>
      <w:pPr>
        <w:spacing w:line="480" w:lineRule="auto"/>
        <w:jc w:val="center"/>
      </w:pPr>
      <w:r>
        <w:rPr>
          <w:rFonts w:ascii="Times New Roman" w:hAnsi="Times New Roman"/>
          <w:b/>
          <w:i w:val="0"/>
          <w:sz w:val="24"/>
        </w:rPr>
        <w:t>Documento de apoyo — Embudo</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after="120"/>
      </w:pPr>
      <w:r>
        <w:rPr>
          <w:rFonts w:ascii="Times New Roman" w:hAnsi="Times New Roman"/>
          <w:b w:val="0"/>
          <w:sz w:val="24"/>
        </w:rPr>
        <w:t>El Embudo: de lo global a lo local</w:t>
      </w:r>
    </w:p>
    <w:p>
      <w:pPr>
        <w:spacing w:after="120"/>
      </w:pPr>
      <w:r>
        <w:rPr>
          <w:rFonts w:ascii="Times New Roman" w:hAnsi="Times New Roman"/>
          <w:b w:val="0"/>
          <w:sz w:val="24"/>
        </w:rPr>
        <w:t>Organización del estado del arte por niveles territoriales. Preparado el 3 de agosto de 2026. En rojo, lo que completas tú.</w:t>
      </w:r>
    </w:p>
    <w:p>
      <w:pPr>
        <w:spacing w:before="200" w:after="80"/>
      </w:pPr>
      <w:r>
        <w:rPr>
          <w:rFonts w:ascii="Times New Roman" w:hAnsi="Times New Roman"/>
          <w:b/>
          <w:color w:val="2E5A87"/>
          <w:sz w:val="26"/>
        </w:rPr>
        <w:t>Para qué sirve el embudo</w:t>
      </w:r>
    </w:p>
    <w:p>
      <w:pPr>
        <w:spacing w:after="120"/>
      </w:pPr>
      <w:r>
        <w:rPr>
          <w:rFonts w:ascii="Times New Roman" w:hAnsi="Times New Roman"/>
          <w:b w:val="0"/>
          <w:sz w:val="24"/>
        </w:rPr>
        <w:t>El embudo no es un adorno de presentación: es el argumento de por qué tu problema merece estudiarse donde tú lo vas a estudiar. Se recorre de lo general a lo particular, y en cada nivel se responde la misma pregunta con distinto alcance: ¿qué se sabe aquí y qué queda sin saberse? Cuando el recorrido está bien hecho, al llegar al último nivel el vacío ya no hay que declararlo: se ve solo, porque el lector viene siguiendo cómo la producción se va adelgazando hasta desaparecer justo en el punto donde tú trabajas.</w:t>
      </w:r>
    </w:p>
    <w:p>
      <w:pPr>
        <w:spacing w:after="120"/>
      </w:pPr>
      <w:r>
        <w:rPr>
          <w:rFonts w:ascii="Times New Roman" w:hAnsi="Times New Roman"/>
          <w:b w:val="0"/>
          <w:sz w:val="24"/>
        </w:rPr>
        <w:t>Su asesora lo dijo con otras palabras en la tutoría: hay que ir de lo global a lo latinoamericano, a lo nacional, a lo departamental y a lo local, y en ese recorrido se decanta la relevancia del problema.</w:t>
      </w:r>
    </w:p>
    <w:p>
      <w:pPr>
        <w:spacing w:before="200" w:after="80"/>
      </w:pPr>
      <w:r>
        <w:rPr>
          <w:rFonts w:ascii="Times New Roman" w:hAnsi="Times New Roman"/>
          <w:b/>
          <w:color w:val="2E5A87"/>
          <w:sz w:val="26"/>
        </w:rPr>
        <w:t>Distribución real de lo encontrado</w:t>
      </w:r>
    </w:p>
    <w:p>
      <w:pPr>
        <w:spacing w:after="120"/>
      </w:pPr>
      <w:r>
        <w:rPr>
          <w:rFonts w:ascii="Times New Roman" w:hAnsi="Times New Roman"/>
          <w:b w:val="0"/>
          <w:sz w:val="24"/>
        </w:rPr>
        <w:t>La revisión ejecutada el 3 de agosto de 2026 sobre treinta y siete trabajos pertinentes se distribuye así por nivel:</w:t>
      </w:r>
    </w:p>
    <w:p>
      <w:pPr>
        <w:spacing w:after="120"/>
      </w:pPr>
      <w:r>
        <w:rPr>
          <w:rFonts w:ascii="Times New Roman" w:hAnsi="Times New Roman"/>
          <w:b w:val="0"/>
          <w:sz w:val="24"/>
        </w:rPr>
        <w:t>Nivel 1, internacional o sin territorio especificado: 25 trabajos.</w:t>
      </w:r>
    </w:p>
    <w:p>
      <w:pPr>
        <w:spacing w:after="120"/>
      </w:pPr>
      <w:r>
        <w:rPr>
          <w:rFonts w:ascii="Times New Roman" w:hAnsi="Times New Roman"/>
          <w:b w:val="0"/>
          <w:sz w:val="24"/>
        </w:rPr>
        <w:t>Nivel 2, América Latina: 7 trabajos.</w:t>
      </w:r>
    </w:p>
    <w:p>
      <w:pPr>
        <w:spacing w:after="120"/>
      </w:pPr>
      <w:r>
        <w:rPr>
          <w:rFonts w:ascii="Times New Roman" w:hAnsi="Times New Roman"/>
          <w:b w:val="0"/>
          <w:sz w:val="24"/>
        </w:rPr>
        <w:t>Nivel 3, Colombia: 5 trabajos.</w:t>
      </w:r>
    </w:p>
    <w:p>
      <w:pPr>
        <w:spacing w:after="120"/>
      </w:pPr>
      <w:r>
        <w:rPr>
          <w:rFonts w:ascii="Times New Roman" w:hAnsi="Times New Roman"/>
          <w:b w:val="0"/>
          <w:sz w:val="24"/>
        </w:rPr>
        <w:t>Nivel 4, departamento de Córdoba: 0 trabajos en el corpus revisado.</w:t>
      </w:r>
    </w:p>
    <w:p>
      <w:pPr>
        <w:spacing w:after="120"/>
      </w:pPr>
      <w:r>
        <w:rPr>
          <w:rFonts w:ascii="Times New Roman" w:hAnsi="Times New Roman"/>
          <w:b w:val="0"/>
          <w:sz w:val="24"/>
        </w:rPr>
        <w:t>Nivel 5, básica secundaria semirural de Córdoba con el cruce completo: 0 trabajos.</w:t>
      </w:r>
    </w:p>
    <w:p>
      <w:pPr>
        <w:spacing w:after="120"/>
      </w:pPr>
      <w:r>
        <w:rPr>
          <w:rFonts w:ascii="Times New Roman" w:hAnsi="Times New Roman"/>
          <w:b w:val="0"/>
          <w:sz w:val="24"/>
        </w:rPr>
        <w:t>Esa progresión —25, 7, 5, 0, 0— es el embudo mismo, y conviene presentarla tal cual, con los números a la vista. No hace falta adjetivarla.</w:t>
      </w:r>
    </w:p>
    <w:p>
      <w:pPr>
        <w:spacing w:before="200" w:after="80"/>
      </w:pPr>
      <w:r>
        <w:rPr>
          <w:rFonts w:ascii="Times New Roman" w:hAnsi="Times New Roman"/>
          <w:b/>
          <w:color w:val="2E5A87"/>
          <w:sz w:val="26"/>
        </w:rPr>
        <w:t>Nivel 1 — Internacional</w:t>
      </w:r>
    </w:p>
    <w:p>
      <w:pPr>
        <w:spacing w:after="120"/>
      </w:pPr>
      <w:r>
        <w:rPr>
          <w:rFonts w:ascii="Times New Roman" w:hAnsi="Times New Roman"/>
          <w:b w:val="0"/>
          <w:sz w:val="24"/>
        </w:rPr>
        <w:t>Qué hay. La producción internacional en español trata lo socioemocional de la inclusión predominantemente como un conjunto de competencias a desarrollar, y organiza los trabajos en torno a estrategias para lograrlo. Dentro de este nivel se ubican los estudios que vinculan educación inclusiva y competencias socioemocionales del profesorado (Núñez-Flores y Llorent, 2022) y las revisiones sistemáticas sobre estrategias para el desarrollo socioemocional.</w:t>
      </w:r>
    </w:p>
    <w:p>
      <w:pPr>
        <w:spacing w:after="120"/>
      </w:pPr>
      <w:r>
        <w:rPr>
          <w:rFonts w:ascii="Times New Roman" w:hAnsi="Times New Roman"/>
          <w:b w:val="0"/>
          <w:sz w:val="24"/>
        </w:rPr>
        <w:t>Qué no hay. La voz del estudiante como narrador de su propia experiencia. El estudiante aparece como destinatario de estrategias o como sujeto evaluado.</w:t>
      </w:r>
    </w:p>
    <w:p>
      <w:pPr>
        <w:spacing w:after="120"/>
      </w:pPr>
      <w:r>
        <w:rPr>
          <w:rFonts w:ascii="Times New Roman" w:hAnsi="Times New Roman"/>
          <w:b w:val="0"/>
          <w:sz w:val="24"/>
        </w:rPr>
        <w:t>Trabajo de referencia obligado en este nivel: González Alba, Cortés González y Rivas-Flores (2020), estudio biográfico-narrativo sobre experiencia escolar, diversidad y ciudadanía justa. Es el único del corpus que asume el diseño que esta tesis adopta.</w:t>
      </w:r>
    </w:p>
    <w:p>
      <w:pPr>
        <w:spacing w:after="120"/>
      </w:pPr>
      <w:r>
        <w:rPr>
          <w:rFonts w:ascii="Times New Roman" w:hAnsi="Times New Roman"/>
          <w:b w:val="0"/>
          <w:color w:val="CC0000"/>
          <w:sz w:val="24"/>
        </w:rPr>
        <w:t>〔TU VOZ: al fichar, suma dos hallazgos concretos de este nivel con su referencia.〕</w:t>
      </w:r>
    </w:p>
    <w:p>
      <w:pPr>
        <w:spacing w:before="200" w:after="80"/>
      </w:pPr>
      <w:r>
        <w:rPr>
          <w:rFonts w:ascii="Times New Roman" w:hAnsi="Times New Roman"/>
          <w:b/>
          <w:color w:val="2E5A87"/>
          <w:sz w:val="26"/>
        </w:rPr>
        <w:t>Nivel 2 — América Latina</w:t>
      </w:r>
    </w:p>
    <w:p>
      <w:pPr>
        <w:spacing w:after="120"/>
      </w:pPr>
      <w:r>
        <w:rPr>
          <w:rFonts w:ascii="Times New Roman" w:hAnsi="Times New Roman"/>
          <w:b w:val="0"/>
          <w:sz w:val="24"/>
        </w:rPr>
        <w:t>Qué hay. La conversación regional confirma un patrón estructural: inclusión robusta en la norma, desigual en las condiciones; persistencia del modelo médico; ruralidad desatendida. Aparecen aquí los trabajos que leen la inclusión como política puesta en acto, entre ellos el análisis de las traducciones que hacen las educadoras diferenciales de las políticas de inclusión en el mercado educativo chileno (Inostroza, 2022) y el estudio sobre inclusión de migrantes publicado en una revista de análisis de política educativa (Gelber, Ávila Reyes y Espinosa, 2021).</w:t>
      </w:r>
    </w:p>
    <w:p>
      <w:pPr>
        <w:spacing w:after="120"/>
      </w:pPr>
      <w:r>
        <w:rPr>
          <w:rFonts w:ascii="Times New Roman" w:hAnsi="Times New Roman"/>
          <w:b w:val="0"/>
          <w:sz w:val="24"/>
        </w:rPr>
        <w:t>Qué no hay. El cruce entre esa lente de política y la vivencia socioemocional. Los trabajos que miran la política se ocupan de su implementación; los que miran lo emocional no miran la política.</w:t>
      </w:r>
    </w:p>
    <w:p>
      <w:pPr>
        <w:spacing w:after="120"/>
      </w:pPr>
      <w:r>
        <w:rPr>
          <w:rFonts w:ascii="Times New Roman" w:hAnsi="Times New Roman"/>
          <w:b w:val="0"/>
          <w:color w:val="CC0000"/>
          <w:sz w:val="24"/>
        </w:rPr>
        <w:t>〔TU VOZ: dos hallazgos regionales con referencia.〕</w:t>
      </w:r>
    </w:p>
    <w:p>
      <w:pPr>
        <w:spacing w:before="200" w:after="80"/>
      </w:pPr>
      <w:r>
        <w:rPr>
          <w:rFonts w:ascii="Times New Roman" w:hAnsi="Times New Roman"/>
          <w:b/>
          <w:color w:val="2E5A87"/>
          <w:sz w:val="26"/>
        </w:rPr>
        <w:t>Nivel 3 — Colombia</w:t>
      </w:r>
    </w:p>
    <w:p>
      <w:pPr>
        <w:spacing w:after="120"/>
      </w:pPr>
      <w:r>
        <w:rPr>
          <w:rFonts w:ascii="Times New Roman" w:hAnsi="Times New Roman"/>
          <w:b w:val="0"/>
          <w:sz w:val="24"/>
        </w:rPr>
        <w:t>Qué hay. Cinco trabajos del corpus. Destacan la propuesta de formación de maestros en educación inclusiva y discapacidad de la Pontificia Universidad Javeriana (Marulanda Páez y Sánchez-Vallejo, 2021); el estudio sobre la respuesta emocional del docente frente a la demanda interaccional del aula (Pedraza Vargas y Cortés, 2023); y la caracterización de las habilidades socioemocionales en primaria y secundaria de instituciones públicas (Gómez Molina, Romero Díaz y Molina, 2024).</w:t>
      </w:r>
    </w:p>
    <w:p>
      <w:pPr>
        <w:spacing w:after="120"/>
      </w:pPr>
      <w:r>
        <w:rPr>
          <w:rFonts w:ascii="Times New Roman" w:hAnsi="Times New Roman"/>
          <w:b w:val="0"/>
          <w:sz w:val="24"/>
        </w:rPr>
        <w:t>Qué no hay. El estudiante con dificultades de aprendizaje narrando su experiencia; y el contraste entre lo semirural y lo urbano.</w:t>
      </w:r>
    </w:p>
    <w:p>
      <w:pPr>
        <w:spacing w:after="120"/>
      </w:pPr>
      <w:r>
        <w:rPr>
          <w:rFonts w:ascii="Times New Roman" w:hAnsi="Times New Roman"/>
          <w:b w:val="0"/>
          <w:sz w:val="24"/>
        </w:rPr>
        <w:t>Antecedente normativo del nivel. La política colombiana de inclusión (Decreto 1421 de 2017) y el corpus socioemocional expedido entre 2024 y 2025 —Leyes 2383, 2460, 2491 y 2503— corren por carriles separados: ninguna de esas cuatro leyes menciona el Decreto 1421. Ese hecho documental es, en sí mismo, un antecedente del problema.</w:t>
      </w:r>
    </w:p>
    <w:p>
      <w:pPr>
        <w:spacing w:after="120"/>
      </w:pPr>
      <w:r>
        <w:rPr>
          <w:rFonts w:ascii="Times New Roman" w:hAnsi="Times New Roman"/>
          <w:b w:val="0"/>
          <w:color w:val="CC0000"/>
          <w:sz w:val="24"/>
        </w:rPr>
        <w:t>〔TU VOZ: suma aquí lo que encuentres en Dialnet y en repositorios colombianos.〕</w:t>
      </w:r>
    </w:p>
    <w:p>
      <w:pPr>
        <w:spacing w:before="200" w:after="80"/>
      </w:pPr>
      <w:r>
        <w:rPr>
          <w:rFonts w:ascii="Times New Roman" w:hAnsi="Times New Roman"/>
          <w:b/>
          <w:color w:val="2E5A87"/>
          <w:sz w:val="26"/>
        </w:rPr>
        <w:t>Nivel 4 — Departamento de Córdoba</w:t>
      </w:r>
    </w:p>
    <w:p>
      <w:pPr>
        <w:spacing w:after="120"/>
      </w:pPr>
      <w:r>
        <w:rPr>
          <w:rFonts w:ascii="Times New Roman" w:hAnsi="Times New Roman"/>
          <w:b w:val="0"/>
          <w:sz w:val="24"/>
        </w:rPr>
        <w:t>Qué hay. En el corpus revisado, ningún trabajo. Lo que sí existe son datos oficiales que describen la condición del territorio: la brecha de aprendizaje entre estudiantes urbanos y rurales medida en Saber 11, que alcanzó 26,4 puntos en 2022 y se amplió tras la pandemia; el hecho de que solo el 18,6 % de las sedes rurales del país ofrece básica secundaria; y los indicadores municipales de Cereté y Montería.</w:t>
      </w:r>
    </w:p>
    <w:p>
      <w:pPr>
        <w:spacing w:after="120"/>
      </w:pPr>
      <w:r>
        <w:rPr>
          <w:rFonts w:ascii="Times New Roman" w:hAnsi="Times New Roman"/>
          <w:b w:val="0"/>
          <w:sz w:val="24"/>
        </w:rPr>
        <w:t>Qué significa. Que existe un problema documentado estadísticamente y no investigado cualitativamente. Esa combinación —territorio con evidencia dura de la brecha y sin producción comprensiva sobre cómo se vive— es una justificación fuerte, y conviene enunciarla exactamente así.</w:t>
      </w:r>
    </w:p>
    <w:p>
      <w:pPr>
        <w:spacing w:after="120"/>
      </w:pPr>
      <w:r>
        <w:rPr>
          <w:rFonts w:ascii="Times New Roman" w:hAnsi="Times New Roman"/>
          <w:b w:val="0"/>
          <w:color w:val="CC0000"/>
          <w:sz w:val="24"/>
        </w:rPr>
        <w:t>〔TU VOZ / PENDIENTE: revisar el repositorio de la Universidad de Córdoba, que es la vía más probable para encontrar trabajos de este nivel. Anota la fecha de consulta y el número de resultados, aunque el resultado sea cero: un cero documentado también es un hallazgo.〕</w:t>
      </w:r>
    </w:p>
    <w:p>
      <w:pPr>
        <w:spacing w:before="200" w:after="80"/>
      </w:pPr>
      <w:r>
        <w:rPr>
          <w:rFonts w:ascii="Times New Roman" w:hAnsi="Times New Roman"/>
          <w:b/>
          <w:color w:val="2E5A87"/>
          <w:sz w:val="26"/>
        </w:rPr>
        <w:t>Nivel 5 — El cruce completo</w:t>
      </w:r>
    </w:p>
    <w:p>
      <w:pPr>
        <w:spacing w:after="120"/>
      </w:pPr>
      <w:r>
        <w:rPr>
          <w:rFonts w:ascii="Times New Roman" w:hAnsi="Times New Roman"/>
          <w:b w:val="0"/>
          <w:sz w:val="24"/>
        </w:rPr>
        <w:t>Ningún trabajo del corpus ocupa el cruce que esta investigación propone: experiencia vivida y narrada, relación entre prácticas de inclusión y vivencias socioemocionales, dos voces —estudiantes con dificultades de aprendizaje y sus docentes—, lente de política, y contraste entre un contexto semirural y uno urbano de Córdoba.</w:t>
      </w:r>
    </w:p>
    <w:p>
      <w:pPr>
        <w:spacing w:after="120"/>
      </w:pPr>
      <w:r>
        <w:rPr>
          <w:rFonts w:ascii="Times New Roman" w:hAnsi="Times New Roman"/>
          <w:b w:val="0"/>
          <w:sz w:val="24"/>
        </w:rPr>
        <w:t>Ese es el vacío. Y llegados a este punto no hace falta afirmarlo: el recorrido lo demuestra.</w:t>
      </w:r>
    </w:p>
    <w:p>
      <w:pPr>
        <w:spacing w:before="200" w:after="80"/>
      </w:pPr>
      <w:r>
        <w:rPr>
          <w:rFonts w:ascii="Times New Roman" w:hAnsi="Times New Roman"/>
          <w:b/>
          <w:color w:val="2E5A87"/>
          <w:sz w:val="26"/>
        </w:rPr>
        <w:t>La evidencia numérica que refuerza el embudo</w:t>
      </w:r>
    </w:p>
    <w:p>
      <w:pPr>
        <w:spacing w:after="120"/>
      </w:pPr>
      <w:r>
        <w:rPr>
          <w:rFonts w:ascii="Times New Roman" w:hAnsi="Times New Roman"/>
          <w:b w:val="0"/>
          <w:sz w:val="24"/>
        </w:rPr>
        <w:t>Además de la progresión territorial, la revisión arrojó un dato que conviene incorporar al argumento. La ecuación de búsqueda sobre vivencias socioemocionales y dificultades de aprendizaje devuelve 875 registros en la base; la ecuación sobre investigación narrativa y relatos de vida en educación inclusiva devuelve 26, en todo el período 2020-2025.</w:t>
      </w:r>
    </w:p>
    <w:p>
      <w:pPr>
        <w:spacing w:after="120"/>
      </w:pPr>
      <w:r>
        <w:rPr>
          <w:rFonts w:ascii="Times New Roman" w:hAnsi="Times New Roman"/>
          <w:b w:val="0"/>
          <w:sz w:val="24"/>
        </w:rPr>
        <w:t>La diferencia entre 875 y 26 no dice que el tema esté inexplorado: dice que está explorado por un camino y casi no por el otro. Esa formulación es más precisa, más honesta y más difícil de refutar que la afirmación de no haber encontrado antecedentes.</w:t>
      </w:r>
    </w:p>
    <w:p>
      <w:pPr>
        <w:spacing w:before="200" w:after="80"/>
      </w:pPr>
      <w:r>
        <w:rPr>
          <w:rFonts w:ascii="Times New Roman" w:hAnsi="Times New Roman"/>
          <w:b/>
          <w:color w:val="2E5A87"/>
          <w:sz w:val="26"/>
        </w:rPr>
        <w:t>Cómo se presenta el embudo en el documento final</w:t>
      </w:r>
    </w:p>
    <w:p>
      <w:pPr>
        <w:spacing w:after="120"/>
      </w:pPr>
      <w:r>
        <w:rPr>
          <w:rFonts w:ascii="Times New Roman" w:hAnsi="Times New Roman"/>
          <w:b w:val="0"/>
          <w:sz w:val="24"/>
        </w:rPr>
        <w:t>Conviene presentarlo como un apartado corrido, no como una lista. Cada nivel se abre diciendo qué se encontró, se sostiene con dos o tres referencias concretas, y se cierra señalando qué queda sin responder; ese "qué queda" es el que abre el nivel siguiente. Al final del recorrido, el lector llega al vacío por su propio pie.</w:t>
      </w:r>
    </w:p>
    <w:p>
      <w:pPr>
        <w:spacing w:after="120"/>
      </w:pPr>
      <w:r>
        <w:rPr>
          <w:rFonts w:ascii="Times New Roman" w:hAnsi="Times New Roman"/>
          <w:b w:val="0"/>
          <w:sz w:val="24"/>
        </w:rPr>
        <w:t>Los números del embudo —25, 7, 5, 0, 0— se enuncian una sola vez, al comienzo del apartado o al final, pero no se repiten en cada nivel.</w:t>
      </w:r>
    </w:p>
    <w:p>
      <w:pPr>
        <w:spacing w:before="200" w:after="80"/>
      </w:pPr>
      <w:r>
        <w:rPr>
          <w:rFonts w:ascii="Times New Roman" w:hAnsi="Times New Roman"/>
          <w:b/>
          <w:color w:val="2E5A87"/>
          <w:sz w:val="26"/>
        </w:rPr>
        <w:t>📌 SUSTENTACIÓN (solo para ti — borrar antes de entregar)</w:t>
      </w:r>
    </w:p>
    <w:p>
      <w:pPr>
        <w:spacing w:after="120"/>
      </w:pPr>
      <w:r>
        <w:rPr>
          <w:rFonts w:ascii="Times New Roman" w:hAnsi="Times New Roman"/>
          <w:b w:val="0"/>
          <w:sz w:val="24"/>
        </w:rPr>
        <w:t>De dónde salen los números. De la revisión ejecutada el 3 de agosto de 2026: seis ecuaciones sobre OpenAlex, en español, entre 2020 y 2025, con un flujo de 248 registros recuperados, 244 únicos, 237 con DOI y 37 pertinentes. La clasificación por nivel se hizo con las pistas de país que ofrecen la revista y la afiliación; por eso la matriz trae una columna de país marcada para verificar. Antes de entregar, confirmá el país de cada trabajo abriendo el texto.</w:t>
      </w:r>
    </w:p>
    <w:p>
      <w:pPr>
        <w:spacing w:after="120"/>
      </w:pPr>
      <w:r>
        <w:rPr>
          <w:rFonts w:ascii="Times New Roman" w:hAnsi="Times New Roman"/>
          <w:b w:val="0"/>
          <w:sz w:val="24"/>
        </w:rPr>
        <w:t>Por qué los ceros de los niveles 4 y 5 se dejan escritos. Porque un cero documentado es un resultado, no una falta. La diferencia entre "no encontré nada de Córdoba" y "la búsqueda con estas ecuaciones, en estas bases, en estas fechas, no devolvió trabajos del departamento de Córdoba" es la diferencia entre una impresión y un hallazgo. Escribilo siempre de la segunda forma.</w:t>
      </w:r>
    </w:p>
    <w:p>
      <w:pPr>
        <w:spacing w:after="120"/>
      </w:pPr>
      <w:r>
        <w:rPr>
          <w:rFonts w:ascii="Times New Roman" w:hAnsi="Times New Roman"/>
          <w:b w:val="0"/>
          <w:sz w:val="24"/>
        </w:rPr>
        <w:t>Por qué el nivel 1 tiene 25 y el 3 tiene 5. No es un desbalance a corregir: es la forma del embudo. Un estado del arte que tuviera la misma cantidad de trabajos en cada nivel sería sospechoso, porque la producción académica efectivamente se concentra en lo general.</w:t>
      </w:r>
    </w:p>
    <w:p>
      <w:pPr>
        <w:spacing w:after="120"/>
      </w:pPr>
      <w:r>
        <w:rPr>
          <w:rFonts w:ascii="Times New Roman" w:hAnsi="Times New Roman"/>
          <w:b w:val="0"/>
          <w:sz w:val="24"/>
        </w:rPr>
        <w:t>Lo que falta y depende de ti. Dialnet y repositorios colombianos para engrosar el nivel 3; el repositorio de la Universidad de Córdoba para el nivel 4; y la verificación del país de cada trabajo. Cuando tengas eso, los números del embudo se actualizan y el argumento queda cerrado.</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