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Documento de apoyo — Defensa</w:t>
      </w:r>
    </w:p>
    <w:p>
      <w:pPr>
        <w:spacing w:line="480" w:lineRule="auto"/>
        <w:jc w:val="center"/>
      </w:pPr>
      <w:r>
        <w:rPr>
          <w:rFonts w:ascii="Times New Roman" w:hAnsi="Times New Roman"/>
          <w:b w:val="0"/>
          <w:i/>
          <w:sz w:val="24"/>
        </w:rPr>
        <w:t>Defensa: preguntas de jurado con respuesta — diseño de investigación narrativa</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7 de agosto de 2026</w:t>
      </w:r>
    </w:p>
    <w:p>
      <w:r>
        <w:br w:type="page"/>
      </w:r>
    </w:p>
    <w:p>
      <w:pPr>
        <w:spacing w:line="480" w:lineRule="auto"/>
        <w:jc w:val="center"/>
      </w:pPr>
      <w:r>
        <w:rPr>
          <w:rFonts w:ascii="Times New Roman" w:hAnsi="Times New Roman"/>
          <w:b/>
          <w:i w:val="0"/>
          <w:sz w:val="24"/>
        </w:rPr>
        <w:t>Documento de apoyo — Defensa</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after="120"/>
      </w:pPr>
      <w:r>
        <w:rPr>
          <w:rFonts w:ascii="Times New Roman" w:hAnsi="Times New Roman"/>
          <w:b w:val="0"/>
          <w:sz w:val="24"/>
        </w:rPr>
        <w:t>Defensa: preguntas de jurado con respuesta</w:t>
      </w:r>
    </w:p>
    <w:p>
      <w:pPr>
        <w:spacing w:after="120"/>
      </w:pPr>
      <w:r>
        <w:rPr>
          <w:rFonts w:ascii="Times New Roman" w:hAnsi="Times New Roman"/>
          <w:b w:val="0"/>
          <w:sz w:val="24"/>
        </w:rPr>
        <w:t>Actualizado al diseño de investigación narrativa. Preparado el 3 de agosto de 2026. En rojo, lo que completas tú.</w:t>
      </w:r>
    </w:p>
    <w:p>
      <w:pPr>
        <w:spacing w:before="200" w:after="80"/>
      </w:pPr>
      <w:r>
        <w:rPr>
          <w:rFonts w:ascii="Times New Roman" w:hAnsi="Times New Roman"/>
          <w:b/>
          <w:color w:val="2E5A87"/>
          <w:sz w:val="26"/>
        </w:rPr>
        <w:t>Cómo usar este documento</w:t>
      </w:r>
    </w:p>
    <w:p>
      <w:pPr>
        <w:spacing w:after="120"/>
      </w:pPr>
      <w:r>
        <w:rPr>
          <w:rFonts w:ascii="Times New Roman" w:hAnsi="Times New Roman"/>
          <w:b w:val="0"/>
          <w:sz w:val="24"/>
        </w:rPr>
        <w:t>Cada pregunta viene con dos partes: la respuesta corta, que es lo que se dice en voz alta y no debería pasar de treinta segundos, y el fundamento, que es lo que sostiene esa respuesta por si le piden más. En una sustentación se responde lo corto; el fundamento solo sale si insisten. Contestar de más es tan riesgoso como contestar de menos.</w:t>
      </w:r>
    </w:p>
    <w:p>
      <w:pPr>
        <w:spacing w:after="120"/>
      </w:pPr>
      <w:r>
        <w:rPr>
          <w:rFonts w:ascii="Times New Roman" w:hAnsi="Times New Roman"/>
          <w:b w:val="0"/>
          <w:sz w:val="24"/>
        </w:rPr>
        <w:t>Léalas en voz alta antes de la sustentación. Una respuesta que se entiende leyéndola puede sonar enredada dicha, y eso solo se descubre diciéndola.</w:t>
      </w:r>
    </w:p>
    <w:p>
      <w:pPr>
        <w:spacing w:before="200" w:after="80"/>
      </w:pPr>
      <w:r>
        <w:rPr>
          <w:rFonts w:ascii="Times New Roman" w:hAnsi="Times New Roman"/>
          <w:b/>
          <w:color w:val="2E5A87"/>
          <w:sz w:val="26"/>
        </w:rPr>
        <w:t>1. ¿Por qué investigación narrativa y no un estudio de casos?</w:t>
      </w:r>
    </w:p>
    <w:p>
      <w:pPr>
        <w:spacing w:after="120"/>
      </w:pPr>
      <w:r>
        <w:rPr>
          <w:rFonts w:ascii="Times New Roman" w:hAnsi="Times New Roman"/>
          <w:b w:val="0"/>
          <w:sz w:val="24"/>
        </w:rPr>
        <w:t>Respuesta corta. Porque el fenómeno que estudio se hace accesible por el relato. Lo que quiero comprender es cómo se vive la relación entre la inclusión y lo socioemocional, y eso aparece anudado en la manera en que los propios protagonistas lo cuentan. Un estudio de casos organizaría el material en torno a unidades institucionales; la investigación narrativa lo organiza en torno a la trayectoria vivida, que es donde está mi problema.</w:t>
      </w:r>
    </w:p>
    <w:p>
      <w:pPr>
        <w:spacing w:after="120"/>
      </w:pPr>
      <w:r>
        <w:rPr>
          <w:rFonts w:ascii="Times New Roman" w:hAnsi="Times New Roman"/>
          <w:b w:val="0"/>
          <w:sz w:val="24"/>
        </w:rPr>
        <w:t>Fundamento. La investigación narrativa asume que profesores y estudiantes son contadores de historias y personajes en las historias de otros, y que el relato de experiencia constituye una forma legítima de generar conocimiento educativo (Connelly y Clandinin, 1995; Larrosa et al., 1995). No es una técnica de recolección: es una perspectiva sobre qué cuenta como conocimiento.</w:t>
      </w:r>
    </w:p>
    <w:p>
      <w:pPr>
        <w:spacing w:before="200" w:after="80"/>
      </w:pPr>
      <w:r>
        <w:rPr>
          <w:rFonts w:ascii="Times New Roman" w:hAnsi="Times New Roman"/>
          <w:b/>
          <w:color w:val="2E5A87"/>
          <w:sz w:val="26"/>
        </w:rPr>
        <w:t>2. Si su investigación es cualitativa y hermenéutica, ¿por qué presenta porcentajes?</w:t>
      </w:r>
    </w:p>
    <w:p>
      <w:pPr>
        <w:spacing w:after="120"/>
      </w:pPr>
      <w:r>
        <w:rPr>
          <w:rFonts w:ascii="Times New Roman" w:hAnsi="Times New Roman"/>
          <w:b w:val="0"/>
          <w:sz w:val="24"/>
        </w:rPr>
        <w:t>Respuesta corta. Los datos no están en los resultados ni en el análisis: están en la contextualización y la justificación. Cumplen tres funciones —delimitar el problema, fundamentar la selección de los contextos y mostrar la relevancia— y en ningún momento se usan para medir el fenómeno. El fenómeno se comprende por los relatos.</w:t>
      </w:r>
    </w:p>
    <w:p>
      <w:pPr>
        <w:spacing w:after="120"/>
      </w:pPr>
      <w:r>
        <w:rPr>
          <w:rFonts w:ascii="Times New Roman" w:hAnsi="Times New Roman"/>
          <w:b w:val="0"/>
          <w:sz w:val="24"/>
        </w:rPr>
        <w:t>Fundamento. Que solo el 18,6 % de las sedes rurales del país ofrezca básica secundaria no explica ninguna vivencia; lo que hace es demostrar que el nivel donde investigo es el eslabón más estrecho del sistema. Eso es contexto, no medición, y por lo tanto no compromete el paradigma comprensivo.</w:t>
      </w:r>
    </w:p>
    <w:p>
      <w:pPr>
        <w:spacing w:before="200" w:after="80"/>
      </w:pPr>
      <w:r>
        <w:rPr>
          <w:rFonts w:ascii="Times New Roman" w:hAnsi="Times New Roman"/>
          <w:b/>
          <w:color w:val="2E5A87"/>
          <w:sz w:val="26"/>
        </w:rPr>
        <w:t>3. ¿Esto no es más bien un diagnóstico institucional?</w:t>
      </w:r>
    </w:p>
    <w:p>
      <w:pPr>
        <w:spacing w:after="120"/>
      </w:pPr>
      <w:r>
        <w:rPr>
          <w:rFonts w:ascii="Times New Roman" w:hAnsi="Times New Roman"/>
          <w:b w:val="0"/>
          <w:sz w:val="24"/>
        </w:rPr>
        <w:t>Respuesta corta. No, por dos razones. Un diagnóstico describe el estado de una institución para intervenirla; esta investigación comprende e interpreta cómo se vive una relación, y lo hace en dos contextos distintos para contrastarlos. Y un diagnóstico no produce conocimiento transferible; esta investigación cierra en lineamientos que exceden a las instituciones estudiadas.</w:t>
      </w:r>
    </w:p>
    <w:p>
      <w:pPr>
        <w:spacing w:after="120"/>
      </w:pPr>
      <w:r>
        <w:rPr>
          <w:rFonts w:ascii="Times New Roman" w:hAnsi="Times New Roman"/>
          <w:b w:val="0"/>
          <w:sz w:val="24"/>
        </w:rPr>
        <w:t>Fundamento. Esta es la pregunta más previsible de toda la sustentación, porque es la advertencia que el programa hace a cualquier tesis situada en la institución donde trabaja el investigador. Conviene tenerla contestada de memoria y sin titubear.</w:t>
      </w:r>
    </w:p>
    <w:p>
      <w:pPr>
        <w:spacing w:before="200" w:after="80"/>
      </w:pPr>
      <w:r>
        <w:rPr>
          <w:rFonts w:ascii="Times New Roman" w:hAnsi="Times New Roman"/>
          <w:b/>
          <w:color w:val="2E5A87"/>
          <w:sz w:val="26"/>
        </w:rPr>
        <w:t>4. ¿Por qué investiga en la institución donde usted trabaja?</w:t>
      </w:r>
    </w:p>
    <w:p>
      <w:pPr>
        <w:spacing w:after="120"/>
      </w:pPr>
      <w:r>
        <w:rPr>
          <w:rFonts w:ascii="Times New Roman" w:hAnsi="Times New Roman"/>
          <w:b w:val="0"/>
          <w:sz w:val="24"/>
        </w:rPr>
        <w:t>Respuesta corta. Porque mi posición de orientadora escolar me da acceso a relatos que a un investigador externo no le serían confiados, y porque la mediación entre la norma de inclusión y la vivencia socioemocional efectivamente ocurre en el lugar donde yo la acompaño. Y precisamente porque trabajo allí, el diseño incorpora una segunda institución donde no tengo ese vínculo.</w:t>
      </w:r>
    </w:p>
    <w:p>
      <w:pPr>
        <w:spacing w:after="120"/>
      </w:pPr>
      <w:r>
        <w:rPr>
          <w:rFonts w:ascii="Times New Roman" w:hAnsi="Times New Roman"/>
          <w:b w:val="0"/>
          <w:sz w:val="24"/>
        </w:rPr>
        <w:t>Fundamento. La segunda institución no es un adorno metodológico: equilibra la posición insider con una mirada externa y reduce el riesgo de confirmar lo que ya creo. La reflexividad se hace explícita en el diario de campo y se declara en el documento.</w:t>
      </w:r>
    </w:p>
    <w:p>
      <w:pPr>
        <w:spacing w:before="200" w:after="80"/>
      </w:pPr>
      <w:r>
        <w:rPr>
          <w:rFonts w:ascii="Times New Roman" w:hAnsi="Times New Roman"/>
          <w:b/>
          <w:color w:val="2E5A87"/>
          <w:sz w:val="26"/>
        </w:rPr>
        <w:t>5. ¿Seis relatos por voz son suficientes para una tesis doctoral?</w:t>
      </w:r>
    </w:p>
    <w:p>
      <w:pPr>
        <w:spacing w:after="120"/>
      </w:pPr>
      <w:r>
        <w:rPr>
          <w:rFonts w:ascii="Times New Roman" w:hAnsi="Times New Roman"/>
          <w:b w:val="0"/>
          <w:sz w:val="24"/>
        </w:rPr>
        <w:t>Respuesta corta. El criterio que gobierna el cierre del campo no es el número sino la saturación: se recogen relatos hasta que los nuevos dejan de aportar sentidos nuevos. La cifra prevista es una previsión de planeación, no una cuota.</w:t>
      </w:r>
    </w:p>
    <w:p>
      <w:pPr>
        <w:spacing w:after="120"/>
      </w:pPr>
      <w:r>
        <w:rPr>
          <w:rFonts w:ascii="Times New Roman" w:hAnsi="Times New Roman"/>
          <w:b w:val="0"/>
          <w:sz w:val="24"/>
        </w:rPr>
        <w:t>Fundamento. En investigación narrativa la profundidad de cada relato pesa más que la cantidad. Existe tradición consolidada de estudios construidos sobre un número reducido de historias de vida; el caso clásico es la antropología de la pobreza de Oscar Lewis, elaborada a partir de cinco familias. Si el jurado presiona, el argumento es que multiplicar relatos sin profundizarlos produce menos conocimiento, no más.</w:t>
      </w:r>
    </w:p>
    <w:p>
      <w:pPr>
        <w:spacing w:before="200" w:after="80"/>
      </w:pPr>
      <w:r>
        <w:rPr>
          <w:rFonts w:ascii="Times New Roman" w:hAnsi="Times New Roman"/>
          <w:b/>
          <w:color w:val="2E5A87"/>
          <w:sz w:val="26"/>
        </w:rPr>
        <w:t>6. ¿Cuál es el conocimiento nuevo que aporta?</w:t>
      </w:r>
    </w:p>
    <w:p>
      <w:pPr>
        <w:spacing w:after="120"/>
      </w:pPr>
      <w:r>
        <w:rPr>
          <w:rFonts w:ascii="Times New Roman" w:hAnsi="Times New Roman"/>
          <w:b w:val="0"/>
          <w:sz w:val="24"/>
        </w:rPr>
        <w:t>Respuesta corta. Que la política de inclusión tiene un punto ciego socioemocional, y cómo ese punto ciego se vive. La norma existe y es robusta; lo que no existe es la articulación entre la política de inclusión y el corpus normativo socioemocional. Mi aporte es mostrar, desde los relatos, qué consecuencias tiene esa desarticulación en la experiencia de quienes la habitan, y derivar lineamientos.</w:t>
      </w:r>
    </w:p>
    <w:p>
      <w:pPr>
        <w:spacing w:after="120"/>
      </w:pPr>
      <w:r>
        <w:rPr>
          <w:rFonts w:ascii="Times New Roman" w:hAnsi="Times New Roman"/>
          <w:b w:val="0"/>
          <w:sz w:val="24"/>
        </w:rPr>
        <w:t>Fundamento. La revisión ejecutada muestra que el campo estudia lo socioemocional de la inclusión como competencias a desarrollar —875 registros en la ecuación correspondiente— y casi no lo estudia como experiencia narrada —26 registros en la ecuación de investigación narrativa—. El aporte no es llenar una ausencia declarada, sino ocupar un camino demostradamente poco transitado.</w:t>
      </w:r>
    </w:p>
    <w:p>
      <w:pPr>
        <w:spacing w:before="200" w:after="80"/>
      </w:pPr>
      <w:r>
        <w:rPr>
          <w:rFonts w:ascii="Times New Roman" w:hAnsi="Times New Roman"/>
          <w:b/>
          <w:color w:val="2E5A87"/>
          <w:sz w:val="26"/>
        </w:rPr>
        <w:t>7. ¿En qué se diferencia su trabajo del estudio biográfico-narrativo de González Alba, Cortés González y Rivas-Flores?</w:t>
      </w:r>
    </w:p>
    <w:p>
      <w:pPr>
        <w:spacing w:after="120"/>
      </w:pPr>
      <w:r>
        <w:rPr>
          <w:rFonts w:ascii="Times New Roman" w:hAnsi="Times New Roman"/>
          <w:b w:val="0"/>
          <w:sz w:val="24"/>
        </w:rPr>
        <w:t>Respuesta corta. Compartimos el diseño, pero no el objeto. Ellos trabajan la experiencia escolar en clave de diversidad y ciudadanía justa; yo trabajo específicamente la relación entre las prácticas de inclusión y las vivencias socioemocionales, la leo con lente de política y la contrasto entre un contexto semirural y uno urbano.</w:t>
      </w:r>
    </w:p>
    <w:p>
      <w:pPr>
        <w:spacing w:after="120"/>
      </w:pPr>
      <w:r>
        <w:rPr>
          <w:rFonts w:ascii="Times New Roman" w:hAnsi="Times New Roman"/>
          <w:b w:val="0"/>
          <w:sz w:val="24"/>
        </w:rPr>
        <w:t>Fundamento. Conocer el trabajo más cercano al propio y saber dónde termina es lo que convierte una afirmación de originalidad en un argumento. Si no mencionas ese trabajo y el jurado lo conoce, la originalidad queda en duda; si lo mencionas tú primero, queda demostrada.</w:t>
      </w:r>
    </w:p>
    <w:p>
      <w:pPr>
        <w:spacing w:before="200" w:after="80"/>
      </w:pPr>
      <w:r>
        <w:rPr>
          <w:rFonts w:ascii="Times New Roman" w:hAnsi="Times New Roman"/>
          <w:b/>
          <w:color w:val="2E5A87"/>
          <w:sz w:val="26"/>
        </w:rPr>
        <w:t>8. ¿Por qué dos instituciones y no una, o cinco?</w:t>
      </w:r>
    </w:p>
    <w:p>
      <w:pPr>
        <w:spacing w:after="120"/>
      </w:pPr>
      <w:r>
        <w:rPr>
          <w:rFonts w:ascii="Times New Roman" w:hAnsi="Times New Roman"/>
          <w:b w:val="0"/>
          <w:sz w:val="24"/>
        </w:rPr>
        <w:t>Respuesta corta. Una sola correría el riesgo de leerse como un proyecto institucional. Cinco harían inviable la profundidad que exige el trabajo con relatos de vida en el tiempo disponible. Dos permiten el contraste que necesito —la misma política vivida en dos territorios— conservando la profundidad.</w:t>
      </w:r>
    </w:p>
    <w:p>
      <w:pPr>
        <w:spacing w:after="120"/>
      </w:pPr>
      <w:r>
        <w:rPr>
          <w:rFonts w:ascii="Times New Roman" w:hAnsi="Times New Roman"/>
          <w:b w:val="0"/>
          <w:sz w:val="24"/>
        </w:rPr>
        <w:t>Fundamento. El contraste no opone un contexto deficitario a uno aventajado: los indicadores municipales muestran configuraciones distintas del mismo problema, no una jerarquía entre ellas.</w:t>
      </w:r>
    </w:p>
    <w:p>
      <w:pPr>
        <w:spacing w:before="200" w:after="80"/>
      </w:pPr>
      <w:r>
        <w:rPr>
          <w:rFonts w:ascii="Times New Roman" w:hAnsi="Times New Roman"/>
          <w:b/>
          <w:color w:val="2E5A87"/>
          <w:sz w:val="26"/>
        </w:rPr>
        <w:t>9. Si no implementa ni evalúa nada, ¿dónde queda el impacto?</w:t>
      </w:r>
    </w:p>
    <w:p>
      <w:pPr>
        <w:spacing w:after="120"/>
      </w:pPr>
      <w:r>
        <w:rPr>
          <w:rFonts w:ascii="Times New Roman" w:hAnsi="Times New Roman"/>
          <w:b w:val="0"/>
          <w:sz w:val="24"/>
        </w:rPr>
        <w:t>Respuesta corta. En los lineamientos. La investigación comprende e interpreta, y de esa comprensión deriva criterios para la política de inclusión y para la orientación escolar. Derivar lineamientos no es intervenir: es producir conocimiento orientado a la decisión.</w:t>
      </w:r>
    </w:p>
    <w:p>
      <w:pPr>
        <w:spacing w:after="120"/>
      </w:pPr>
      <w:r>
        <w:rPr>
          <w:rFonts w:ascii="Times New Roman" w:hAnsi="Times New Roman"/>
          <w:b w:val="0"/>
          <w:sz w:val="24"/>
        </w:rPr>
        <w:t>Fundamento. Prometer implementación y evaluación de impacto en el horizonte disponible sería comprometerse con algo que el tiempo no permite. La delimitación es una decisión de viabilidad, y así está declarada.</w:t>
      </w:r>
    </w:p>
    <w:p>
      <w:pPr>
        <w:spacing w:before="200" w:after="80"/>
      </w:pPr>
      <w:r>
        <w:rPr>
          <w:rFonts w:ascii="Times New Roman" w:hAnsi="Times New Roman"/>
          <w:b/>
          <w:color w:val="2E5A87"/>
          <w:sz w:val="26"/>
        </w:rPr>
        <w:t>10. ¿Cómo garantiza el rigor trabajando desde adentro?</w:t>
      </w:r>
    </w:p>
    <w:p>
      <w:pPr>
        <w:spacing w:after="120"/>
      </w:pPr>
      <w:r>
        <w:rPr>
          <w:rFonts w:ascii="Times New Roman" w:hAnsi="Times New Roman"/>
          <w:b w:val="0"/>
          <w:sz w:val="24"/>
        </w:rPr>
        <w:t>Respuesta corta. Con cuatro dispositivos: reflexividad sistemática en el diario de campo, devolución de las interpretaciones a los participantes, revisión por un par crítico, y la segunda institución como contrapeso externo. Y con la declaración explícita de mi posición, que es lo primero que exige la hermenéutica.</w:t>
      </w:r>
    </w:p>
    <w:p>
      <w:pPr>
        <w:spacing w:after="120"/>
      </w:pPr>
      <w:r>
        <w:rPr>
          <w:rFonts w:ascii="Times New Roman" w:hAnsi="Times New Roman"/>
          <w:b w:val="0"/>
          <w:sz w:val="24"/>
        </w:rPr>
        <w:t>Fundamento. Los criterios son los de credibilidad, transferibilidad, dependabilidad y confirmabilidad. La posición insider no se presenta como un problema a disimular sino como una condición del conocimiento que se declara y se administra.</w:t>
      </w:r>
    </w:p>
    <w:p>
      <w:pPr>
        <w:spacing w:before="200" w:after="80"/>
      </w:pPr>
      <w:r>
        <w:rPr>
          <w:rFonts w:ascii="Times New Roman" w:hAnsi="Times New Roman"/>
          <w:b/>
          <w:color w:val="2E5A87"/>
          <w:sz w:val="26"/>
        </w:rPr>
        <w:t>11. ¿Cómo resuelve la ética con estudiantes menores de edad?</w:t>
      </w:r>
    </w:p>
    <w:p>
      <w:pPr>
        <w:spacing w:after="120"/>
      </w:pPr>
      <w:r>
        <w:rPr>
          <w:rFonts w:ascii="Times New Roman" w:hAnsi="Times New Roman"/>
          <w:b w:val="0"/>
          <w:sz w:val="24"/>
        </w:rPr>
        <w:t>Respuesta corta. Consentimiento informado de las familias y asentimiento de los propios estudiantes, confidencialidad y seudonimización de todos los relatos, y aval del comité de ética y de las instituciones. Y una separación estricta entre mi rol de orientadora y mi rol de investigadora: no uso información obtenida en el acompañamiento profesional.</w:t>
      </w:r>
    </w:p>
    <w:p>
      <w:pPr>
        <w:spacing w:after="120"/>
      </w:pPr>
      <w:r>
        <w:rPr>
          <w:rFonts w:ascii="Times New Roman" w:hAnsi="Times New Roman"/>
          <w:b w:val="0"/>
          <w:sz w:val="24"/>
        </w:rPr>
        <w:t>Fundamento. El doble rol es el punto ético más delicado del diseño y por eso está tratado de manera expresa en el documento, no como una fórmula general.</w:t>
      </w:r>
    </w:p>
    <w:p>
      <w:pPr>
        <w:spacing w:before="200" w:after="80"/>
      </w:pPr>
      <w:r>
        <w:rPr>
          <w:rFonts w:ascii="Times New Roman" w:hAnsi="Times New Roman"/>
          <w:b/>
          <w:color w:val="2E5A87"/>
          <w:sz w:val="26"/>
        </w:rPr>
        <w:t>12. ¿Por qué hermenéutica crítica y no hermenéutica a secas?</w:t>
      </w:r>
    </w:p>
    <w:p>
      <w:pPr>
        <w:spacing w:after="120"/>
      </w:pPr>
      <w:r>
        <w:rPr>
          <w:rFonts w:ascii="Times New Roman" w:hAnsi="Times New Roman"/>
          <w:b w:val="0"/>
          <w:sz w:val="24"/>
        </w:rPr>
        <w:t>Respuesta corta. Porque comprender cómo se vive la inclusión sin preguntar por las condiciones que producen esa vivencia dejaría el trabajo a mitad de camino. La lente crítica de política es la que permite leer un relato individual como expresión de una política que se recontextualiza al bajar al aula.</w:t>
      </w:r>
    </w:p>
    <w:p>
      <w:pPr>
        <w:spacing w:after="120"/>
      </w:pPr>
      <w:r>
        <w:rPr>
          <w:rFonts w:ascii="Times New Roman" w:hAnsi="Times New Roman"/>
          <w:b w:val="0"/>
          <w:sz w:val="24"/>
        </w:rPr>
        <w:t>Fundamento. En la línea del debate entre Gadamer y Habermas, la interpretación no renuncia a la crítica de las condiciones estructurales. Esa es, además, la coherencia con el énfasis del programa en Políticas Contemporáneas.</w:t>
      </w:r>
    </w:p>
    <w:p>
      <w:pPr>
        <w:spacing w:before="200" w:after="80"/>
      </w:pPr>
      <w:r>
        <w:rPr>
          <w:rFonts w:ascii="Times New Roman" w:hAnsi="Times New Roman"/>
          <w:b/>
          <w:color w:val="2E5A87"/>
          <w:sz w:val="26"/>
        </w:rPr>
        <w:t>13. Preguntas que pueden aparecer y para las que todavía no tiene respuesta</w:t>
      </w:r>
    </w:p>
    <w:p>
      <w:pPr>
        <w:spacing w:after="120"/>
      </w:pPr>
      <w:r>
        <w:rPr>
          <w:rFonts w:ascii="Times New Roman" w:hAnsi="Times New Roman"/>
          <w:b w:val="0"/>
          <w:sz w:val="24"/>
        </w:rPr>
        <w:t>Estas quedan abiertas a propósito, porque dependen de decisiones suyas. Anticiparlas es mejor que descubrirlas en la sala.</w:t>
      </w:r>
    </w:p>
    <w:p>
      <w:pPr>
        <w:spacing w:after="120"/>
      </w:pPr>
      <w:r>
        <w:rPr>
          <w:rFonts w:ascii="Times New Roman" w:hAnsi="Times New Roman"/>
          <w:b w:val="0"/>
          <w:sz w:val="24"/>
        </w:rPr>
        <w:t xml:space="preserve">¿Cuál es la segunda institución y qué acceso real tiene a ella? </w:t>
      </w:r>
      <w:r>
        <w:rPr>
          <w:rFonts w:ascii="Times New Roman" w:hAnsi="Times New Roman"/>
          <w:b w:val="0"/>
          <w:color w:val="CC0000"/>
          <w:sz w:val="24"/>
        </w:rPr>
        <w:t>〔TU VOZ: definir y verificar el acceso antes de la sustentación.〕</w:t>
      </w:r>
    </w:p>
    <w:p>
      <w:pPr>
        <w:spacing w:after="120"/>
      </w:pPr>
      <w:r>
        <w:rPr>
          <w:rFonts w:ascii="Times New Roman" w:hAnsi="Times New Roman"/>
          <w:b w:val="0"/>
          <w:sz w:val="24"/>
        </w:rPr>
        <w:t xml:space="preserve">¿Cuántos relatos por contexto y con qué criterio se eligen los participantes? </w:t>
      </w:r>
      <w:r>
        <w:rPr>
          <w:rFonts w:ascii="Times New Roman" w:hAnsi="Times New Roman"/>
          <w:b w:val="0"/>
          <w:color w:val="CC0000"/>
          <w:sz w:val="24"/>
        </w:rPr>
        <w:t>〔TU VOZ.〕</w:t>
      </w:r>
    </w:p>
    <w:p>
      <w:pPr>
        <w:spacing w:after="120"/>
      </w:pPr>
      <w:r>
        <w:rPr>
          <w:rFonts w:ascii="Times New Roman" w:hAnsi="Times New Roman"/>
          <w:b w:val="0"/>
          <w:sz w:val="24"/>
        </w:rPr>
        <w:t xml:space="preserve">¿Qué dice el PEI de su institución sobre inclusión y acompañamiento socioemocional? </w:t>
      </w:r>
      <w:r>
        <w:rPr>
          <w:rFonts w:ascii="Times New Roman" w:hAnsi="Times New Roman"/>
          <w:b w:val="0"/>
          <w:color w:val="CC0000"/>
          <w:sz w:val="24"/>
        </w:rPr>
        <w:t>〔TU VOZ: leerlo y tener dos frases citables.〕</w:t>
      </w:r>
    </w:p>
    <w:p>
      <w:pPr>
        <w:spacing w:before="200" w:after="80"/>
      </w:pPr>
      <w:r>
        <w:rPr>
          <w:rFonts w:ascii="Times New Roman" w:hAnsi="Times New Roman"/>
          <w:b/>
          <w:color w:val="2E5A87"/>
          <w:sz w:val="26"/>
        </w:rPr>
        <w:t>14. Tres recordatorios para el día de la sustentación</w:t>
      </w:r>
    </w:p>
    <w:p>
      <w:pPr>
        <w:spacing w:after="120"/>
      </w:pPr>
      <w:r>
        <w:rPr>
          <w:rFonts w:ascii="Times New Roman" w:hAnsi="Times New Roman"/>
          <w:b w:val="0"/>
          <w:sz w:val="24"/>
        </w:rPr>
        <w:t>Primero: cuando no sepa algo, dígalo y diga cómo lo va a resolver. Un jurado castiga mucho más el invento que el vacío reconocido.</w:t>
      </w:r>
    </w:p>
    <w:p>
      <w:pPr>
        <w:spacing w:after="120"/>
      </w:pPr>
      <w:r>
        <w:rPr>
          <w:rFonts w:ascii="Times New Roman" w:hAnsi="Times New Roman"/>
          <w:b w:val="0"/>
          <w:sz w:val="24"/>
        </w:rPr>
        <w:t>Segundo: si le señalan un error real, agradezca y anote. Discutir un error verificable delante del jurado convierte un problema pequeño en uno grande.</w:t>
      </w:r>
    </w:p>
    <w:p>
      <w:pPr>
        <w:spacing w:after="120"/>
      </w:pPr>
      <w:r>
        <w:rPr>
          <w:rFonts w:ascii="Times New Roman" w:hAnsi="Times New Roman"/>
          <w:b w:val="0"/>
          <w:sz w:val="24"/>
        </w:rPr>
        <w:t>Tercero: hable de sus escenas de campo. Son lo único que nadie más en esa sala tiene, y son lo que demuestra que la investigación es suya.</w:t>
      </w:r>
    </w:p>
    <w:p>
      <w:pPr>
        <w:spacing w:before="200" w:after="80"/>
      </w:pPr>
      <w:r>
        <w:rPr>
          <w:rFonts w:ascii="Times New Roman" w:hAnsi="Times New Roman"/>
          <w:b/>
          <w:color w:val="2E5A87"/>
          <w:sz w:val="26"/>
        </w:rPr>
        <w:t>📌 SUSTENTACIÓN (solo para ti — borrar antes de entregar)</w:t>
      </w:r>
    </w:p>
    <w:p>
      <w:pPr>
        <w:spacing w:after="120"/>
      </w:pPr>
      <w:r>
        <w:rPr>
          <w:rFonts w:ascii="Times New Roman" w:hAnsi="Times New Roman"/>
          <w:b w:val="0"/>
          <w:sz w:val="24"/>
        </w:rPr>
        <w:t>Por qué estas trece preguntas y no otras. Ocho salen de lo que efectivamente le señalaron sus asesores o de lo que el programa viene exigiendo: el riesgo de diagnóstico, el porqué de investigar donde trabaja, la coherencia entre verbo y paradigma, la justificación del número de instituciones. Tres salen del cambio de diseño y son nuevas: narrativa frente a estudio de casos, suficiencia de los relatos y diferencia con el trabajo más cercano. Dos son de rigor y ética, que en tesis con menores de edad se preguntan siempre.</w:t>
      </w:r>
    </w:p>
    <w:p>
      <w:pPr>
        <w:spacing w:after="120"/>
      </w:pPr>
      <w:r>
        <w:rPr>
          <w:rFonts w:ascii="Times New Roman" w:hAnsi="Times New Roman"/>
          <w:b w:val="0"/>
          <w:sz w:val="24"/>
        </w:rPr>
        <w:t>La pregunta que más se subestima. La número 7, la de la diferencia con el trabajo más cercano. Es la que separa a quien conoce su campo de quien solo reunió referencias. Si el jurado nombra un trabajo parecido y tú no lo conoces, la originalidad se cae completa; si lo nombras tú primero y marcas la diferencia, queda demostrada sin discusión.</w:t>
      </w:r>
    </w:p>
    <w:p>
      <w:pPr>
        <w:spacing w:after="120"/>
      </w:pPr>
      <w:r>
        <w:rPr>
          <w:rFonts w:ascii="Times New Roman" w:hAnsi="Times New Roman"/>
          <w:b w:val="0"/>
          <w:sz w:val="24"/>
        </w:rPr>
        <w:t>Por qué las respuestas cortas son cortas. Porque en una sustentación cada palabra de más abre una puerta nueva. La respuesta larga se guarda para cuando la pidan. Si contesta todo el fundamento de entrada, le van a preguntar sobre el fundamento.</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