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control interno — no se entrega</w:t>
      </w:r>
    </w:p>
    <w:p>
      <w:pPr>
        <w:spacing w:line="480" w:lineRule="auto"/>
        <w:jc w:val="center"/>
      </w:pPr>
      <w:r>
        <w:rPr>
          <w:rFonts w:ascii="Times New Roman" w:hAnsi="Times New Roman"/>
          <w:b w:val="0"/>
          <w:i/>
          <w:sz w:val="24"/>
        </w:rPr>
        <w:t>Auditoría de los documentos contra los lineamientos de tesis doctoral de la UTE</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8 de agosto de 2026</w:t>
      </w:r>
    </w:p>
    <w:p>
      <w:r>
        <w:br w:type="page"/>
      </w:r>
    </w:p>
    <w:p>
      <w:pPr>
        <w:spacing w:line="480" w:lineRule="auto"/>
        <w:jc w:val="center"/>
      </w:pPr>
      <w:r>
        <w:rPr>
          <w:rFonts w:ascii="Times New Roman" w:hAnsi="Times New Roman"/>
          <w:b/>
          <w:i w:val="0"/>
          <w:sz w:val="24"/>
        </w:rPr>
        <w:t>Documento de control interno — no se entrega</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Auditoría de tus documentos contra la Estructura para la presentación de tesis doctoral de la UTE (Dirección del Departamento de Investigación, 26 de septiembre de 2025, 50 páginas). Revisión hecha el 8 de agosto de 2026.</w:t>
      </w:r>
    </w:p>
    <w:p>
      <w:pPr>
        <w:spacing w:before="200" w:after="80"/>
      </w:pPr>
      <w:r>
        <w:rPr>
          <w:rFonts w:ascii="Times New Roman" w:hAnsi="Times New Roman"/>
          <w:b/>
          <w:color w:val="2E5A87"/>
          <w:sz w:val="26"/>
        </w:rPr>
        <w:t>Cómo leer esta auditoría</w:t>
      </w:r>
    </w:p>
    <w:p>
      <w:pPr>
        <w:spacing w:after="120"/>
      </w:pPr>
      <w:r>
        <w:rPr>
          <w:rFonts w:ascii="Times New Roman" w:hAnsi="Times New Roman"/>
          <w:b w:val="0"/>
          <w:sz w:val="24"/>
        </w:rPr>
        <w:t>Cada criterio se cita como lo dice el documento oficial, se dice qué había en tus documentos antes de esta revisión y se indica qué se hizo. Los criterios marcados como PENDIENTE son los que no se pueden resolver escribiendo: dependen de un dato tuyo, de una gestión o de trabajo de fichado. No hay ningún criterio marcado como cumplido que no se pueda verificar abriendo el archivo correspondiente.</w:t>
      </w:r>
    </w:p>
    <w:p>
      <w:pPr>
        <w:spacing w:before="200" w:after="80"/>
      </w:pPr>
      <w:r>
        <w:rPr>
          <w:rFonts w:ascii="Times New Roman" w:hAnsi="Times New Roman"/>
          <w:b/>
          <w:color w:val="2E5A87"/>
          <w:sz w:val="26"/>
        </w:rPr>
        <w:t>Bloque 1. Aspectos formales</w:t>
      </w:r>
    </w:p>
    <w:p>
      <w:pPr>
        <w:spacing w:after="120"/>
      </w:pPr>
      <w:r>
        <w:rPr>
          <w:rFonts w:ascii="Times New Roman" w:hAnsi="Times New Roman"/>
          <w:b/>
          <w:sz w:val="24"/>
        </w:rPr>
        <w:t>1.1 Formato del documento. La norma exige elaborar en Word y presentar la versión final en PDF. CUMPLE: todos tus documentos están en Word. Recordatorio: la versión que se entrega para evaluación va en PDF.</w:t>
      </w:r>
    </w:p>
    <w:p>
      <w:pPr>
        <w:spacing w:after="120"/>
      </w:pPr>
      <w:r>
        <w:rPr>
          <w:rFonts w:ascii="Times New Roman" w:hAnsi="Times New Roman"/>
          <w:b/>
          <w:sz w:val="24"/>
        </w:rPr>
        <w:t>1.2 Normativa de citación. Exige APA en su versión más actualizada, por corresponder al área de Ciencias de la Educación. CUMPLE: todos los documentos están en APA 7.</w:t>
      </w:r>
    </w:p>
    <w:p>
      <w:pPr>
        <w:spacing w:after="120"/>
      </w:pPr>
      <w:r>
        <w:rPr>
          <w:rFonts w:ascii="Times New Roman" w:hAnsi="Times New Roman"/>
          <w:b/>
          <w:sz w:val="24"/>
        </w:rPr>
        <w:t>1.3 Tipografía en color negro. La norma dice, textualmente, que el uso de otros colores solo se permitirá en ilustraciones cuando sea estrictamente necesario. NO CUMPLE Y HAY QUE ARREGLARLO ANTES DE ENTREGAR: tus documentos usan títulos en azul y marcadores en rojo. Ese formato es de trabajo, sirve para que veas de un vistazo qué falta, pero no puede llegar así a evaluación. Antes de entregar hay que pasar todo a negro y eliminar los marcadores. Es un paso mecánico de cinco minutos, pero si se olvida el evaluador lo ve en la primera página.</w:t>
      </w:r>
    </w:p>
    <w:p>
      <w:pPr>
        <w:spacing w:after="120"/>
      </w:pPr>
      <w:r>
        <w:rPr>
          <w:rFonts w:ascii="Times New Roman" w:hAnsi="Times New Roman"/>
          <w:b/>
          <w:sz w:val="24"/>
        </w:rPr>
        <w:t>1.4 Extensión del título. Máximo veintiuna palabras, sin subtítulos, sin siglas ni abreviaturas, y construido a partir del objetivo general omitiendo el verbo principal. NO CUMPLÍA: el título anterior tenía treinta y una palabras y llevaba subtítulo. CORREGIDO: el nuevo título tiene veinte palabras y no lleva subtítulo. Quedan dos alternativas para que elijas, en la primera página del proyecto reorganizado.</w:t>
      </w:r>
    </w:p>
    <w:p>
      <w:pPr>
        <w:spacing w:after="120"/>
      </w:pPr>
      <w:r>
        <w:rPr>
          <w:rFonts w:ascii="Times New Roman" w:hAnsi="Times New Roman"/>
          <w:b/>
          <w:sz w:val="24"/>
        </w:rPr>
        <w:t>1.5 Idioma. La tesis debe redactarse en español o en inglés. CUMPLE.</w:t>
      </w:r>
    </w:p>
    <w:p>
      <w:pPr>
        <w:spacing w:after="120"/>
      </w:pPr>
      <w:r>
        <w:rPr>
          <w:rFonts w:ascii="Times New Roman" w:hAnsi="Times New Roman"/>
          <w:b/>
          <w:sz w:val="24"/>
        </w:rPr>
        <w:t>1.6 Extensión del documento final. La tesis debe superar las 150 páginas, sin contar preliminares, bibliografía ni anexos. INFORMATIVO: no aplica todavía, pero conviene tenerlo presente para dimensionar el trabajo. Los tres primeros capítulos que hoy tienes rondan las 35 páginas.</w:t>
      </w:r>
    </w:p>
    <w:p>
      <w:pPr>
        <w:spacing w:after="120"/>
      </w:pPr>
      <w:r>
        <w:rPr>
          <w:rFonts w:ascii="Times New Roman" w:hAnsi="Times New Roman"/>
          <w:b/>
          <w:sz w:val="24"/>
        </w:rPr>
        <w:t>1.7 Umbral de similitud y de inteligencia artificial. El porcentaje máximo permitido de similitud y de uso de inteligencia artificial es del 10 %, lo verifica el tutor académico con el software institucional antes de la entrega formal, y si se supera el trabajo se devuelve para corrección. ATENCIÓN, esto merece una conversación aparte y la tienes al final de este documento.</w:t>
      </w:r>
    </w:p>
    <w:p>
      <w:pPr>
        <w:spacing w:before="200" w:after="80"/>
      </w:pPr>
      <w:r>
        <w:rPr>
          <w:rFonts w:ascii="Times New Roman" w:hAnsi="Times New Roman"/>
          <w:b/>
          <w:color w:val="2E5A87"/>
          <w:sz w:val="26"/>
        </w:rPr>
        <w:t>Bloque 2. Secciones preliminares</w:t>
      </w:r>
    </w:p>
    <w:p>
      <w:pPr>
        <w:spacing w:after="120"/>
      </w:pPr>
      <w:r>
        <w:rPr>
          <w:rFonts w:ascii="Times New Roman" w:hAnsi="Times New Roman"/>
          <w:b/>
          <w:sz w:val="24"/>
        </w:rPr>
        <w:t>2.1 Portada conforme al Anexo I. El anexo fija un orden y unos tamaños de letra concretos: UNIVERSITY OF TECHNOLOGY AND EDUCATION, nombre de la facultad en tamaño 12, nombre del programa en tamaño 12, título de la tesis en tamaño 18, la línea «Conducente al grado académico de: Doctor/a en Ciencias de la Educación» en tamaño 12, y luego Estudiante, Director(a), Ciudad y País, y Mes-Año. CUMPLE PARCIALMENTE: tu portada actual tiene el membrete institucional y tus datos, pero le faltan tres elementos —el nombre de la facultad, la línea «Conducente al grado académico de…» y el rótulo «Director(a)», que hoy dice «Asesora de tesis»—. PENDIENTE de una decisión tuya: la plantilla con membrete que te dio la universidad y el Anexo I no son idénticos. Pregúntale a Gledys cuál manda para la entrega de candidatura; mientras tanto conservé tu plantilla, que es la que ella ha venido aceptando.</w:t>
      </w:r>
    </w:p>
    <w:p>
      <w:pPr>
        <w:spacing w:after="120"/>
      </w:pPr>
      <w:r>
        <w:rPr>
          <w:rFonts w:ascii="Times New Roman" w:hAnsi="Times New Roman"/>
          <w:b/>
          <w:sz w:val="24"/>
        </w:rPr>
        <w:t>2.2 Resumen. Obligatorio, entre 250 y 300 palabras, en un solo bloque, sin sangría, interlineado sencillo, y debe contener pregunta central, justificación, objetivo general, referentes teóricos, paradigma, enfoque, procedimientos metodológicos y hallazgos o conclusiones. NO EXISTÍA. ESCRITO: 280 palabras, con los ocho componentes.</w:t>
      </w:r>
    </w:p>
    <w:p>
      <w:pPr>
        <w:spacing w:after="120"/>
      </w:pPr>
      <w:r>
        <w:rPr>
          <w:rFonts w:ascii="Times New Roman" w:hAnsi="Times New Roman"/>
          <w:b/>
          <w:sz w:val="24"/>
        </w:rPr>
        <w:t>2.3 Palabras clave. Entre tres y cinco. NO EXISTÍAN. ESCRITAS: cinco.</w:t>
      </w:r>
    </w:p>
    <w:p>
      <w:pPr>
        <w:spacing w:after="120"/>
      </w:pPr>
      <w:r>
        <w:rPr>
          <w:rFonts w:ascii="Times New Roman" w:hAnsi="Times New Roman"/>
          <w:b/>
          <w:sz w:val="24"/>
        </w:rPr>
        <w:t>2.4 Abstract y Keywords. El resumen debe presentarse también en inglés, bajo las denominaciones ABSTRACT y KEYWORDS. NO EXISTÍAN. ESCRITOS.</w:t>
      </w:r>
    </w:p>
    <w:p>
      <w:pPr>
        <w:spacing w:after="120"/>
      </w:pPr>
      <w:r>
        <w:rPr>
          <w:rFonts w:ascii="Times New Roman" w:hAnsi="Times New Roman"/>
          <w:b/>
          <w:sz w:val="24"/>
        </w:rPr>
        <w:t>2.5 Índice general. Obligatorio, desde el resumen hasta los anexos, con número de página. PENDIENTE, y a propósito: se genera automáticamente en Word cuando el documento esté cerrado. Hacerlo antes obliga a rehacerlo con cada cambio.</w:t>
      </w:r>
    </w:p>
    <w:p>
      <w:pPr>
        <w:spacing w:after="120"/>
      </w:pPr>
      <w:r>
        <w:rPr>
          <w:rFonts w:ascii="Times New Roman" w:hAnsi="Times New Roman"/>
          <w:b/>
          <w:sz w:val="24"/>
        </w:rPr>
        <w:t>2.6 Listas de cuadros, figuras, anexos y apéndices. Obligatorias según la naturaleza del trabajo. PENDIENTE: van cuando existan los cuadros y figuras definitivos. Quedó señalado en el documento el lugar exacto donde se insertan.</w:t>
      </w:r>
    </w:p>
    <w:p>
      <w:pPr>
        <w:spacing w:after="120"/>
      </w:pPr>
      <w:r>
        <w:rPr>
          <w:rFonts w:ascii="Times New Roman" w:hAnsi="Times New Roman"/>
          <w:b/>
          <w:sz w:val="24"/>
        </w:rPr>
        <w:t>2.7 Introducción. Debe abordar problemática, antecedentes, justificación, objetivos, alcance, marco teórico y enfoque metodológico, incluir la presentación breve de cada capítulo, y extenderse entre tres y cinco páginas. CUMPLÍA A MEDIAS: tenías introducción, pero sin la presentación de los capítulos. CORREGIDO: se agregó el párrafo que presenta capítulo por capítulo.</w:t>
      </w:r>
    </w:p>
    <w:p>
      <w:pPr>
        <w:spacing w:before="200" w:after="80"/>
      </w:pPr>
      <w:r>
        <w:rPr>
          <w:rFonts w:ascii="Times New Roman" w:hAnsi="Times New Roman"/>
          <w:b/>
          <w:color w:val="2E5A87"/>
          <w:sz w:val="26"/>
        </w:rPr>
        <w:t>Bloque 3. Capítulo I, contextualización de la problemática</w:t>
      </w:r>
    </w:p>
    <w:p>
      <w:pPr>
        <w:spacing w:after="120"/>
      </w:pPr>
      <w:r>
        <w:rPr>
          <w:rFonts w:ascii="Times New Roman" w:hAnsi="Times New Roman"/>
          <w:b/>
          <w:sz w:val="24"/>
        </w:rPr>
        <w:t>3.1 Estructura del capítulo. La norma fija cinco apartados numerados: 1.1 descripción de la problemática, 1.2 antecedentes investigativos, 1.3 formulación de la pregunta, 1.4 objetivos o propósitos con sus dos subapartados, y 1.5 fundamentación e impacto. NO CUMPLÍA: tu anteproyecto estaba organizado en ocho secciones con nombres propios. CORREGIDO: todo el contenido fue trasladado al capitulado oficial, sin perder nada.</w:t>
      </w:r>
    </w:p>
    <w:p>
      <w:pPr>
        <w:spacing w:after="120"/>
      </w:pPr>
      <w:r>
        <w:rPr>
          <w:rFonts w:ascii="Times New Roman" w:hAnsi="Times New Roman"/>
          <w:b/>
          <w:sz w:val="24"/>
        </w:rPr>
        <w:t>3.2 Descripción de la problemática con antecedentes de todas las escalas. Debe incluir entorno global, América Latina, nacional, local e institucional, y marcos legales o normativos. CUMPLE Y ES UNA FORTALEZA: tu descripción recorre las cinco escalas y tiene un marco normativo multinivel que pocos trabajos presentan.</w:t>
      </w:r>
    </w:p>
    <w:p>
      <w:pPr>
        <w:spacing w:after="120"/>
      </w:pPr>
      <w:r>
        <w:rPr>
          <w:rFonts w:ascii="Times New Roman" w:hAnsi="Times New Roman"/>
          <w:b/>
          <w:sz w:val="24"/>
        </w:rPr>
        <w:t>3.3 Las siete preguntas orientadoras. La norma pide que la descripción responda de manera estructurada a qué se requiere explicar, dónde se manifiesta, cuál es su magnitud, cuándo ocurre, cuáles son sus causas probables, qué relevancia tiene y qué soluciones se han intentado. NO ESTABAN RESPONDIDAS de manera explícita. ESCRITO: apartado 1.1.3, con las siete respondidas una por una y con datos.</w:t>
      </w:r>
    </w:p>
    <w:p>
      <w:pPr>
        <w:spacing w:after="120"/>
      </w:pPr>
      <w:r>
        <w:rPr>
          <w:rFonts w:ascii="Times New Roman" w:hAnsi="Times New Roman"/>
          <w:b/>
          <w:sz w:val="24"/>
        </w:rPr>
        <w:t>3.4 Vacíos y tensiones formulados como problemas de comprensión. En estudios cualitativos la norma pide que las tensiones se formulen como problemas de comprensión y no de medición. CUMPLE.</w:t>
      </w:r>
    </w:p>
    <w:p>
      <w:pPr>
        <w:spacing w:after="120"/>
      </w:pPr>
      <w:r>
        <w:rPr>
          <w:rFonts w:ascii="Times New Roman" w:hAnsi="Times New Roman"/>
          <w:b/>
          <w:sz w:val="24"/>
        </w:rPr>
        <w:t>3.5 Antecedentes: mínimo veinticinco investigaciones, últimos cinco años, especialmente de nivel doctoral. NO CUMPLE TODAVÍA, y es tu brecha más grande. Hoy tienes treinta y siete artículos verificados y cuarenta tesis y libros rastreados, pero de estos últimos solo dos están confirmados como doctorales, once son de maestría y veintisiete no se han podido confirmar porque los repositorios bloquean la consulta automática. Faltan alrededor de veintitrés tesis doctorales confirmadas. Coincide con lo que pide Gledys para el 30 de septiembre: es la misma exigencia por dos vías.</w:t>
      </w:r>
    </w:p>
    <w:p>
      <w:pPr>
        <w:spacing w:after="120"/>
      </w:pPr>
      <w:r>
        <w:rPr>
          <w:rFonts w:ascii="Times New Roman" w:hAnsi="Times New Roman"/>
          <w:b/>
          <w:sz w:val="24"/>
        </w:rPr>
        <w:t>3.6 Análisis de cada antecedente en seis dimensiones. La norma pide que de cada trabajo se analicen las preguntas que lo guiaron, los enfoques teóricos y metodológicos, los hallazgos y sus implicaciones, las contribuciones, las limitaciones y —especialmente— las diferencias respecto de la investigación propia. CUMPLE EN LA ESTRUCTURA, PENDIENTE EN EL CONTENIDO: la matriz tiene las columnas y el documento declara el criterio, pero las fichas se llenan leyendo cada trabajo. Eso no lo puede hacer una base de datos.</w:t>
      </w:r>
    </w:p>
    <w:p>
      <w:pPr>
        <w:spacing w:after="120"/>
      </w:pPr>
      <w:r>
        <w:rPr>
          <w:rFonts w:ascii="Times New Roman" w:hAnsi="Times New Roman"/>
          <w:b/>
          <w:sz w:val="24"/>
        </w:rPr>
        <w:t>3.7 Pregunta de investigación. Debe expresar una incertidumbre investigable, ser pertinente, acotada y viable, y corresponderse con el objetivo general. CUMPLE: además se agregó el párrafo que argumenta por qué cumple cada uno de esos cuatro requisitos, que es lo que un evaluador busca.</w:t>
      </w:r>
    </w:p>
    <w:p>
      <w:pPr>
        <w:spacing w:after="120"/>
      </w:pPr>
      <w:r>
        <w:rPr>
          <w:rFonts w:ascii="Times New Roman" w:hAnsi="Times New Roman"/>
          <w:b/>
          <w:sz w:val="24"/>
        </w:rPr>
        <w:t>3.8 Propósitos. Un solo verbo de conocimiento por objetivo, nivel de complejidad igual o inferior al del general, claros, secuenciales, viables, sin superposiciones y cubriendo la totalidad del propósito general. CUMPLE, y ya cumplía: es mérito de la corrección que Gledys hizo en la asesoría del 31 de julio.</w:t>
      </w:r>
    </w:p>
    <w:p>
      <w:pPr>
        <w:spacing w:after="120"/>
      </w:pPr>
      <w:r>
        <w:rPr>
          <w:rFonts w:ascii="Times New Roman" w:hAnsi="Times New Roman"/>
          <w:b/>
          <w:sz w:val="24"/>
        </w:rPr>
        <w:t>3.9 Nomenclatura. La norma distingue «objetivos» para lo cuantitativo y «propósitos» para lo cualitativo, y exige mantener de manera estricta la nomenclatura institucional. NO CUMPLÍA. CORREGIDO: ahora se llaman propósitos.</w:t>
      </w:r>
    </w:p>
    <w:p>
      <w:pPr>
        <w:spacing w:after="120"/>
      </w:pPr>
      <w:r>
        <w:rPr>
          <w:rFonts w:ascii="Times New Roman" w:hAnsi="Times New Roman"/>
          <w:b/>
          <w:sz w:val="24"/>
        </w:rPr>
        <w:t>3.10 Fundamentación e impacto en cinco planos, con mención expresa de la línea de investigación. La norma pide razones teóricas, metodológicas, científicas, prácticas y sociales, y cerrar señalando la línea a la que se adscribe el estudio. CUMPLE: se completaron los planos teórico y metodológico, que estaban implícitos, y se agregó un apartado de impacto esperado. La línea ya estaba nombrada.</w:t>
      </w:r>
    </w:p>
    <w:p>
      <w:pPr>
        <w:spacing w:before="200" w:after="80"/>
      </w:pPr>
      <w:r>
        <w:rPr>
          <w:rFonts w:ascii="Times New Roman" w:hAnsi="Times New Roman"/>
          <w:b/>
          <w:color w:val="2E5A87"/>
          <w:sz w:val="26"/>
        </w:rPr>
        <w:t>Bloque 4. Capítulo II, fundamentos teóricos y epistemológicos</w:t>
      </w:r>
    </w:p>
    <w:p>
      <w:pPr>
        <w:spacing w:after="120"/>
      </w:pPr>
      <w:r>
        <w:rPr>
          <w:rFonts w:ascii="Times New Roman" w:hAnsi="Times New Roman"/>
          <w:b/>
          <w:sz w:val="24"/>
        </w:rPr>
        <w:t>4.1 Los tres niveles. La norma exige organizar el capítulo en nivel epistemológico, teórico y conceptual. NO CUMPLÍA: tenías un marco teórico-conceptual en bloque. CORREGIDO: se separó en 2.1, 2.2 y 2.3.</w:t>
      </w:r>
    </w:p>
    <w:p>
      <w:pPr>
        <w:spacing w:after="120"/>
      </w:pPr>
      <w:r>
        <w:rPr>
          <w:rFonts w:ascii="Times New Roman" w:hAnsi="Times New Roman"/>
          <w:b/>
          <w:sz w:val="24"/>
        </w:rPr>
        <w:t>4.2 Fundamentación epistemológica con sus tres preguntas. Debe responder qué se considera conocimiento válido, cómo se accede a ese conocimiento y desde qué corriente se sustenta. NO ESTABAN RESPONDIDAS por separado. ESCRITO: las tres, con ese orden y esos títulos.</w:t>
      </w:r>
    </w:p>
    <w:p>
      <w:pPr>
        <w:spacing w:after="120"/>
      </w:pPr>
      <w:r>
        <w:rPr>
          <w:rFonts w:ascii="Times New Roman" w:hAnsi="Times New Roman"/>
          <w:b/>
          <w:sz w:val="24"/>
        </w:rPr>
        <w:t>4.3 Teorías vinculadas a los propósitos y a las categorías. CUMPLE: las cuatro categorías teóricas se corresponden una a una con los cuatro propósitos específicos, y eso quedó dicho de manera explícita.</w:t>
      </w:r>
    </w:p>
    <w:p>
      <w:pPr>
        <w:spacing w:after="120"/>
      </w:pPr>
      <w:r>
        <w:rPr>
          <w:rFonts w:ascii="Times New Roman" w:hAnsi="Times New Roman"/>
          <w:b/>
          <w:sz w:val="24"/>
        </w:rPr>
        <w:t>4.4 Definición y fundamentación conceptual con glosario operativo. La norma pide revisión de las distintas definiciones de cada concepto central y delimitación del sentido en que se usarán. CUMPLÍA A MEDIAS. AMPLIADO: se escribió el glosario con siete conceptos, incluida la distinción entre integración e inclusión y la triada dificultad, trastorno y discapacidad, que es la que sostiene tu argumento jurídico.</w:t>
      </w:r>
    </w:p>
    <w:p>
      <w:pPr>
        <w:spacing w:after="120"/>
      </w:pPr>
      <w:r>
        <w:rPr>
          <w:rFonts w:ascii="Times New Roman" w:hAnsi="Times New Roman"/>
          <w:b/>
          <w:sz w:val="24"/>
        </w:rPr>
        <w:t>4.5 Coherencia de corriente. CUMPLE: los autores críticos pertenecen a una misma tradición y los referentes narrativos forman un bloque metodológico aparte. Está dicho en el documento, que es donde el jurado lo busca.</w:t>
      </w:r>
    </w:p>
    <w:p>
      <w:pPr>
        <w:spacing w:before="200" w:after="80"/>
      </w:pPr>
      <w:r>
        <w:rPr>
          <w:rFonts w:ascii="Times New Roman" w:hAnsi="Times New Roman"/>
          <w:b/>
          <w:color w:val="2E5A87"/>
          <w:sz w:val="26"/>
        </w:rPr>
        <w:t>Bloque 5. Capítulo III, referentes metodológicos</w:t>
      </w:r>
    </w:p>
    <w:p>
      <w:pPr>
        <w:spacing w:after="120"/>
      </w:pPr>
      <w:r>
        <w:rPr>
          <w:rFonts w:ascii="Times New Roman" w:hAnsi="Times New Roman"/>
          <w:b/>
          <w:sz w:val="24"/>
        </w:rPr>
        <w:t>5.1 Estructura del capítulo. La norma fija seis apartados con sus subapartados: 3.1 paradigma y enfoque, 3.2 matriz de categorización, 3.3 unidades de estudio, 3.4 técnicas e instrumentos, 3.5 procedimiento de recolección y 3.6 consideraciones éticas. NO CUMPLÍA: tenías un diseño metodológico corrido, sin numeración. CORREGIDO Y COMPLETADO.</w:t>
      </w:r>
    </w:p>
    <w:p>
      <w:pPr>
        <w:spacing w:after="120"/>
      </w:pPr>
      <w:r>
        <w:rPr>
          <w:rFonts w:ascii="Times New Roman" w:hAnsi="Times New Roman"/>
          <w:b/>
          <w:sz w:val="24"/>
        </w:rPr>
        <w:t>5.2 Premisas y proposiciones. Para estudios cualitativos, la norma pide supuestos epistemológicos en lugar de hipótesis. NO EXISTÍAN. ESCRITAS: tres premisas y una proposición de partida.</w:t>
      </w:r>
    </w:p>
    <w:p>
      <w:pPr>
        <w:spacing w:after="120"/>
      </w:pPr>
      <w:r>
        <w:rPr>
          <w:rFonts w:ascii="Times New Roman" w:hAnsi="Times New Roman"/>
          <w:b/>
          <w:sz w:val="24"/>
        </w:rPr>
        <w:t>5.3 Tipo de investigación. Debe declararse el tipo, la fuente de información —campo o documental—, y la temporalidad —retrospectiva o contemporánea—. NO ESTABA DECLARADO. ESCRITO: comprensivo, de campo con componente documental, contemporáneo con dimensión retrospectiva.</w:t>
      </w:r>
    </w:p>
    <w:p>
      <w:pPr>
        <w:spacing w:after="120"/>
      </w:pPr>
      <w:r>
        <w:rPr>
          <w:rFonts w:ascii="Times New Roman" w:hAnsi="Times New Roman"/>
          <w:b/>
          <w:sz w:val="24"/>
        </w:rPr>
        <w:t>5.4 Diseño. La norma lista los diseños cualitativos admitidos, entre ellos el narrativo. CUMPLE, y con fundamentación de por qué no se eligieron los otros.</w:t>
      </w:r>
    </w:p>
    <w:p>
      <w:pPr>
        <w:spacing w:after="120"/>
      </w:pPr>
      <w:r>
        <w:rPr>
          <w:rFonts w:ascii="Times New Roman" w:hAnsi="Times New Roman"/>
          <w:b/>
          <w:sz w:val="24"/>
        </w:rPr>
        <w:t>5.5 Conceptos definidores y sensibilizadores. NO EXISTÍAN. ESCRITOS.</w:t>
      </w:r>
    </w:p>
    <w:p>
      <w:pPr>
        <w:spacing w:after="120"/>
      </w:pPr>
      <w:r>
        <w:rPr>
          <w:rFonts w:ascii="Times New Roman" w:hAnsi="Times New Roman"/>
          <w:b/>
          <w:sz w:val="24"/>
        </w:rPr>
        <w:t>5.6 Lista de categorías y subcategorías, presentadas como orientadoras y no cerradas. NO EXISTÍA. ESCRITA: cuatro categorías y veintiuna subcategorías, declaradas como provisionales y abiertas a lo emergente, tal como exige la norma.</w:t>
      </w:r>
    </w:p>
    <w:p>
      <w:pPr>
        <w:spacing w:after="120"/>
      </w:pPr>
      <w:r>
        <w:rPr>
          <w:rFonts w:ascii="Times New Roman" w:hAnsi="Times New Roman"/>
          <w:b/>
          <w:sz w:val="24"/>
        </w:rPr>
        <w:t>5.7 Unidades de estudio, escenario e informantes clave con sus características. CUMPLÍA A MEDIAS. COMPLETADO: se detalla qué se registra de cada informante.</w:t>
      </w:r>
    </w:p>
    <w:p>
      <w:pPr>
        <w:spacing w:after="120"/>
      </w:pPr>
      <w:r>
        <w:rPr>
          <w:rFonts w:ascii="Times New Roman" w:hAnsi="Times New Roman"/>
          <w:b/>
          <w:sz w:val="24"/>
        </w:rPr>
        <w:t>5.8 Criterios de elegibilidad, de inclusión y de exclusión. NO EXISTÍAN, y es un apartado que la norma numera de manera expresa. ESCRITOS, para estudiantes y para docentes, incluida la exclusión de los estudiantes que estén bajo tu acompañamiento directo como orientadora durante el trabajo de campo. Ese criterio te protege a ti y protege el estudio.</w:t>
      </w:r>
    </w:p>
    <w:p>
      <w:pPr>
        <w:spacing w:after="120"/>
      </w:pPr>
      <w:r>
        <w:rPr>
          <w:rFonts w:ascii="Times New Roman" w:hAnsi="Times New Roman"/>
          <w:b/>
          <w:sz w:val="24"/>
        </w:rPr>
        <w:t>5.9 Descripción detallada de los instrumentos. La norma pide describir estructura, función y población de cada instrumento, indicar si son de elaboración propia o adaptados, y especificar el proceso de validación. NO EXISTÍA. ESCRITO: los cuatro instrumentos descritos, con validación por juicio de tres expertos y prueba piloto.</w:t>
      </w:r>
    </w:p>
    <w:p>
      <w:pPr>
        <w:spacing w:after="120"/>
      </w:pPr>
      <w:r>
        <w:rPr>
          <w:rFonts w:ascii="Times New Roman" w:hAnsi="Times New Roman"/>
          <w:b/>
          <w:sz w:val="24"/>
        </w:rPr>
        <w:t>5.10 Fiabilidad para investigaciones cualitativas. La norma nombra la triangulación, la observación prolongada, la saturación, el cuaderno de campo y la devolución de resultados a los participantes. CUMPLE: estaban los criterios de Guba y Lincoln; se agregaron las cinco estrategias con los nombres que usa la norma.</w:t>
      </w:r>
    </w:p>
    <w:p>
      <w:pPr>
        <w:spacing w:after="120"/>
      </w:pPr>
      <w:r>
        <w:rPr>
          <w:rFonts w:ascii="Times New Roman" w:hAnsi="Times New Roman"/>
          <w:b/>
          <w:sz w:val="24"/>
        </w:rPr>
        <w:t>5.11 Procedimiento de recolección con sus cuatro aspectos. Preparación de instrumentos, permisos y consentimiento, aplicación, y registro, almacenamiento y protección de los datos. NO ESTABA ESTRUCTURADO. ESCRITO: seis etapas, incluido el apartado de almacenamiento cifrado y maestro de correspondencia separado.</w:t>
      </w:r>
    </w:p>
    <w:p>
      <w:pPr>
        <w:spacing w:after="120"/>
      </w:pPr>
      <w:r>
        <w:rPr>
          <w:rFonts w:ascii="Times New Roman" w:hAnsi="Times New Roman"/>
          <w:b/>
          <w:sz w:val="24"/>
        </w:rPr>
        <w:t>5.12 Consideraciones éticas con sus dos subapartados numerados: confidencialidad y protección de datos, y obtención del consentimiento informado. CUMPLÍA EN CONTENIDO, NO EN ESTRUCTURA. CORREGIDO: se separó en 3.6.1 y 3.6.2, y se detallan los tres formatos que hay que redactar.</w:t>
      </w:r>
    </w:p>
    <w:p>
      <w:pPr>
        <w:spacing w:before="200" w:after="80"/>
      </w:pPr>
      <w:r>
        <w:rPr>
          <w:rFonts w:ascii="Times New Roman" w:hAnsi="Times New Roman"/>
          <w:b/>
          <w:color w:val="2E5A87"/>
          <w:sz w:val="26"/>
        </w:rPr>
        <w:t>Bloque 6. Lo que viene después</w:t>
      </w:r>
    </w:p>
    <w:p>
      <w:pPr>
        <w:spacing w:after="120"/>
      </w:pPr>
      <w:r>
        <w:rPr>
          <w:rFonts w:ascii="Times New Roman" w:hAnsi="Times New Roman"/>
          <w:b/>
          <w:sz w:val="24"/>
        </w:rPr>
        <w:t>6.1 Capítulos IV, V y VI. La norma fija su contenido: análisis y triangulación, contrastación, conclusiones por propósito, líneas de investigación futuras, recomendaciones y propuesta. ANTICIPADO en el documento, con el criterio de cómo se abordará cada uno. Tu apartado de lineamientos encaja en el capítulo VI, la propuesta, que la norma define como construcción teórica, metodológica o práctica surgida del proceso investigativo.</w:t>
      </w:r>
    </w:p>
    <w:p>
      <w:pPr>
        <w:spacing w:after="120"/>
      </w:pPr>
      <w:r>
        <w:rPr>
          <w:rFonts w:ascii="Times New Roman" w:hAnsi="Times New Roman"/>
          <w:b/>
          <w:sz w:val="24"/>
        </w:rPr>
        <w:t>6.2 Candidatura doctoral. Se presenta con los capítulos I, II y III, más una sustentación oral de veinte minutos ante dos doctores evaluadores, con diez minutos de diálogo. El documento que tienes hoy es exactamente esa entrega. Requisito previo: haber aprobado los cursos I, II, III y IV de investigación.</w:t>
      </w:r>
    </w:p>
    <w:p>
      <w:pPr>
        <w:spacing w:after="120"/>
      </w:pPr>
      <w:r>
        <w:rPr>
          <w:rFonts w:ascii="Times New Roman" w:hAnsi="Times New Roman"/>
          <w:b/>
          <w:sz w:val="24"/>
        </w:rPr>
        <w:t>6.3 Requisitos de grado. Plan de estudios completo; candidatura formalizada; carta de revisión de redacción y estilo por un especialista con formación en lingüística, español, humanidades o letras; carta de aval del director e informe de similitud; ponencia en congreso internacional; pasantía doctoral; artículo publicado en revista indexada; certificado de dominio del inglés; y todo dentro de un plazo máximo de cinco años. INFORMATIVO Y URGENTE: ninguno de estos requisitos depende de que la tesis esté terminada, y son los que atrasan a la gente. La carta de revisión de estilo, en particular, es un requisito que casi nadie tiene en el radar hasta el final.</w:t>
      </w:r>
    </w:p>
    <w:p>
      <w:pPr>
        <w:spacing w:after="120"/>
      </w:pPr>
      <w:r>
        <w:rPr>
          <w:rFonts w:ascii="Times New Roman" w:hAnsi="Times New Roman"/>
          <w:b/>
          <w:sz w:val="24"/>
        </w:rPr>
        <w:t>6.4 Evaluación del informe escrito. Tres jurados doctores, escala de 90 a 100 excelente, 80 a 89 bueno, 70 a 79 aceptable, y menos de 70 insuficiente. Con menos de 70 la tesis se devuelve y hay sesenta días hábiles para corregir. INFORMATIVO.</w:t>
      </w:r>
    </w:p>
    <w:p>
      <w:pPr>
        <w:spacing w:after="120"/>
      </w:pPr>
      <w:r>
        <w:rPr>
          <w:rFonts w:ascii="Times New Roman" w:hAnsi="Times New Roman"/>
          <w:b/>
          <w:sz w:val="24"/>
        </w:rPr>
        <w:t>6.5 Presentación visual de la defensa. Máximo veinte diapositivas, plantilla oficial de la UTE, letra Arial o Times New Roman en 16 o 18 puntos, y envío al director con ocho días de antelación. INFORMATIVO, pero anótalo: no se puede sustentar si el tutor no revisó antes las diapositivas.</w:t>
      </w:r>
    </w:p>
    <w:p>
      <w:pPr>
        <w:spacing w:before="200" w:after="80"/>
      </w:pPr>
      <w:r>
        <w:rPr>
          <w:rFonts w:ascii="Times New Roman" w:hAnsi="Times New Roman"/>
          <w:b/>
          <w:color w:val="2E5A87"/>
          <w:sz w:val="26"/>
        </w:rPr>
        <w:t>Sobre el 10 % de similitud y de inteligencia artificial</w:t>
      </w:r>
    </w:p>
    <w:p>
      <w:pPr>
        <w:spacing w:after="120"/>
      </w:pPr>
      <w:r>
        <w:rPr>
          <w:rFonts w:ascii="Times New Roman" w:hAnsi="Times New Roman"/>
          <w:b w:val="0"/>
          <w:sz w:val="24"/>
        </w:rPr>
        <w:t>Este punto merece que hablemos claro, porque me involucra.</w:t>
      </w:r>
    </w:p>
    <w:p>
      <w:pPr>
        <w:spacing w:after="120"/>
      </w:pPr>
      <w:r>
        <w:rPr>
          <w:rFonts w:ascii="Times New Roman" w:hAnsi="Times New Roman"/>
          <w:b w:val="0"/>
          <w:sz w:val="24"/>
        </w:rPr>
        <w:t>Los lineamientos fijan un tope del 10 % para similitud y para uso de inteligencia artificial, lo verifica tu tutora con el software institucional antes de la entrega formal, y si se supera el trabajo se devuelve. No es una recomendación: es una condición de admisibilidad.</w:t>
      </w:r>
    </w:p>
    <w:p>
      <w:pPr>
        <w:spacing w:after="120"/>
      </w:pPr>
      <w:r>
        <w:rPr>
          <w:rFonts w:ascii="Times New Roman" w:hAnsi="Times New Roman"/>
          <w:b w:val="0"/>
          <w:sz w:val="24"/>
        </w:rPr>
        <w:t xml:space="preserve">Nuestro método ya está construido para eso, y por eso insisto tanto en los marcadores </w:t>
      </w:r>
      <w:r>
        <w:rPr>
          <w:rFonts w:ascii="Times New Roman" w:hAnsi="Times New Roman"/>
          <w:b w:val="0"/>
          <w:color w:val="CC0000"/>
          <w:sz w:val="24"/>
        </w:rPr>
        <w:t>〔TU VOZ〕</w:t>
      </w:r>
      <w:r>
        <w:rPr>
          <w:rFonts w:ascii="Times New Roman" w:hAnsi="Times New Roman"/>
          <w:b w:val="0"/>
          <w:sz w:val="24"/>
        </w:rPr>
        <w:t>: lo que yo te entrego es andamiaje, estructura y fundamentación, y lo que lo vuelve tuyo son tus escenas, tu voz en primera persona, tus datos de campo y tus decisiones. Un documento que conserve los marcadores sin llenar es, literalmente, un documento a medio hacer.</w:t>
      </w:r>
    </w:p>
    <w:p>
      <w:pPr>
        <w:spacing w:after="120"/>
      </w:pPr>
      <w:r>
        <w:rPr>
          <w:rFonts w:ascii="Times New Roman" w:hAnsi="Times New Roman"/>
          <w:b w:val="0"/>
          <w:sz w:val="24"/>
        </w:rPr>
        <w:t>Lo que te recomiendo, en concreto. Primero, no entregues ningún capítulo sin haber llenado todos los marcadores: son los tramos donde entra lo que solo tú puedes escribir. Segundo, reescribe con tus palabras al menos las secciones donde hablas de tu institución, tus estudiantes y tu experiencia; ahí el texto tiene que sonar a ti y no a mí. Tercero, pídele a Gledys que te pase el informe de similitud antes de la entrega formal, no después: si algo hay que ajustar, es mejor saberlo con tiempo. Y cuarto, guarda tus borradores y tus notas manuscritas: son la evidencia de tu proceso.</w:t>
      </w:r>
    </w:p>
    <w:p>
      <w:pPr>
        <w:spacing w:after="120"/>
      </w:pPr>
      <w:r>
        <w:rPr>
          <w:rFonts w:ascii="Times New Roman" w:hAnsi="Times New Roman"/>
          <w:b w:val="0"/>
          <w:sz w:val="24"/>
        </w:rPr>
        <w:t>Y una cosa más, que es de fondo. Que un texto suene impersonal no lo hace más académico. La norma pide escritura formal, no escritura sin dueño. Los tramos que más peso van a tener en tu defensa son justamente los que solo tú puedes escribir: la escena de José, lo que viste en la ruta de remisión, lo que te dijo una madre. Eso ningún sistema lo genera, y es lo que un jurado reconoce como investigación real.</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Por qué esta auditoría está organizada por bloques y no por documentos. Porque los lineamientos son la vara, y la vara se aplica igual a todo lo que entregues. Si la organizara por documentos tendrías que leer seis veces el mismo criterio.</w:t>
      </w:r>
    </w:p>
    <w:p>
      <w:pPr>
        <w:spacing w:after="120"/>
      </w:pPr>
      <w:r>
        <w:rPr>
          <w:rFonts w:ascii="Times New Roman" w:hAnsi="Times New Roman"/>
          <w:b w:val="0"/>
          <w:sz w:val="24"/>
        </w:rPr>
        <w:t>Por qué digo NO CUMPLE sin rodeos. Porque un informe de auditoría que suaviza los incumplimientos no sirve para corregir. Cada NO CUMPLE de esta lista tiene al lado lo que se hizo o lo que falta hacer, y ninguno queda sin respuesta.</w:t>
      </w:r>
    </w:p>
    <w:p>
      <w:pPr>
        <w:spacing w:after="120"/>
      </w:pPr>
      <w:r>
        <w:rPr>
          <w:rFonts w:ascii="Times New Roman" w:hAnsi="Times New Roman"/>
          <w:b w:val="0"/>
          <w:sz w:val="24"/>
        </w:rPr>
        <w:t>Qué hacer con este documento. No se entrega: es tu tablero de control. Cuando termines cada pendiente, táchalo. Los que quedan abiertos hoy son cinco: las veintitrés tesis doctorales que faltan para llegar a veinticinco, el fichado de los antecedentes, la decisión sobre la portada, el índice y las listas —que van al final—, y los datos que solo tú tienes.</w:t>
      </w:r>
    </w:p>
    <w:p>
      <w:pPr>
        <w:spacing w:after="120"/>
      </w:pPr>
      <w:r>
        <w:rPr>
          <w:rFonts w:ascii="Times New Roman" w:hAnsi="Times New Roman"/>
          <w:b w:val="0"/>
          <w:sz w:val="24"/>
        </w:rPr>
        <w:t>Cómo defender ante Gledys lo que cambió. Todo lo que se modificó tiene su respaldo en una línea concreta del documento institucional, y en esta auditoría está citada. Si algo de lo que hicimos contradice una indicación suya, ella tiene la última palabra en lo formal y de proceso; pero conviene que la conversación se dé mostrando el lineamiento, no mi criterio.</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