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
    <w:p/>
    <w:p>
      <w:pPr>
        <w:spacing w:line="480" w:lineRule="auto"/>
        <w:jc w:val="center"/>
      </w:pPr>
      <w:r>
        <w:rPr>
          <w:rFonts w:ascii="Times New Roman" w:hAnsi="Times New Roman"/>
          <w:b/>
          <w:i w:val="0"/>
          <w:sz w:val="28"/>
        </w:rPr>
        <w:t>Anteproyecto de investigación doctoral</w:t>
      </w:r>
    </w:p>
    <w:p>
      <w:pPr>
        <w:spacing w:line="480" w:lineRule="auto"/>
        <w:jc w:val="center"/>
      </w:pPr>
      <w:r>
        <w:rPr>
          <w:rFonts w:ascii="Times New Roman" w:hAnsi="Times New Roman"/>
          <w:b w:val="0"/>
          <w:i/>
          <w:sz w:val="24"/>
        </w:rPr>
        <w:t>Inclusión educativa y socioemocionalidad: una comprensión hermenéutica crítica desde los relatos de estudiantes con dificultades de aprendizaje y de sus docentes en la básica secundaria semirural y urbana de Córdoba, Colombia</w:t>
      </w:r>
    </w:p>
    <w:p/>
    <w:p>
      <w:pPr>
        <w:jc w:val="center"/>
      </w:pPr>
      <w:r>
        <w:rPr>
          <w:rFonts w:ascii="Times New Roman" w:hAnsi="Times New Roman"/>
          <w:b w:val="0"/>
          <w:i w:val="0"/>
          <w:sz w:val="24"/>
        </w:rPr>
        <w:t>Dorca Yanelis Ramos Chaljub</w:t>
      </w:r>
    </w:p>
    <w:p>
      <w:pPr>
        <w:jc w:val="center"/>
      </w:pPr>
      <w:r>
        <w:rPr>
          <w:rFonts w:ascii="Times New Roman" w:hAnsi="Times New Roman"/>
          <w:b w:val="0"/>
          <w:i w:val="0"/>
          <w:sz w:val="24"/>
        </w:rPr>
        <w:t>Doctorado en Ciencias de la Educación</w:t>
      </w:r>
    </w:p>
    <w:p>
      <w:pPr>
        <w:jc w:val="center"/>
      </w:pPr>
      <w:r>
        <w:rPr>
          <w:rFonts w:ascii="Times New Roman" w:hAnsi="Times New Roman"/>
          <w:b w:val="0"/>
          <w:i w:val="0"/>
          <w:sz w:val="24"/>
        </w:rPr>
        <w:t>University of Technology and Education (UTE)</w:t>
      </w:r>
    </w:p>
    <w:p>
      <w:pPr>
        <w:jc w:val="center"/>
      </w:pPr>
      <w:r>
        <w:rPr>
          <w:rFonts w:ascii="Times New Roman" w:hAnsi="Times New Roman"/>
          <w:b w:val="0"/>
          <w:i w:val="0"/>
          <w:sz w:val="24"/>
        </w:rPr>
        <w:t>Doctorado en Ciencias de la Educación · UTE</w:t>
      </w:r>
    </w:p>
    <w:p>
      <w:pPr>
        <w:jc w:val="center"/>
      </w:pPr>
      <w:r>
        <w:rPr>
          <w:rFonts w:ascii="Times New Roman" w:hAnsi="Times New Roman"/>
          <w:b w:val="0"/>
          <w:i w:val="0"/>
          <w:sz w:val="24"/>
        </w:rPr>
        <w:t>Asesora de tesis: Gledys Enith Montes Rivera</w:t>
      </w:r>
    </w:p>
    <w:p>
      <w:pPr>
        <w:jc w:val="center"/>
      </w:pPr>
      <w:r>
        <w:rPr>
          <w:rFonts w:ascii="Times New Roman" w:hAnsi="Times New Roman"/>
          <w:b w:val="0"/>
          <w:i w:val="0"/>
          <w:sz w:val="24"/>
        </w:rPr>
        <w:t>7 de agosto de 2026</w:t>
      </w:r>
    </w:p>
    <w:p>
      <w:r>
        <w:br w:type="page"/>
      </w:r>
    </w:p>
    <w:p>
      <w:pPr>
        <w:spacing w:line="480" w:lineRule="auto"/>
        <w:jc w:val="center"/>
      </w:pPr>
      <w:r>
        <w:rPr>
          <w:rFonts w:ascii="Times New Roman" w:hAnsi="Times New Roman"/>
          <w:b/>
          <w:i w:val="0"/>
          <w:sz w:val="24"/>
        </w:rPr>
        <w:t>Anteproyecto de investigación doctoral</w:t>
      </w:r>
    </w:p>
    <w:p>
      <w:pPr>
        <w:spacing w:line="480" w:lineRule="auto"/>
        <w:jc w:val="both"/>
      </w:pPr>
      <w:r>
        <w:rPr>
          <w:rFonts w:ascii="Times New Roman" w:hAnsi="Times New Roman"/>
          <w:b/>
          <w:i w:val="0"/>
          <w:color w:val="CC0000"/>
          <w:sz w:val="24"/>
        </w:rPr>
        <w:t>Borrador de trabajo. Donde dice 〔TU VOZ: …〕 va tu aporte. Citas verificadas; [VERIFICAR] = confirmar dato.</w:t>
      </w:r>
    </w:p>
    <w:p>
      <w:pPr>
        <w:spacing w:after="120"/>
      </w:pPr>
      <w:r>
        <w:rPr>
          <w:rFonts w:ascii="Times New Roman" w:hAnsi="Times New Roman"/>
          <w:b w:val="0"/>
          <w:sz w:val="24"/>
        </w:rPr>
        <w:t>Anteproyecto de investigación doctoral</w:t>
      </w:r>
    </w:p>
    <w:p>
      <w:pPr>
        <w:spacing w:after="120"/>
      </w:pPr>
      <w:r>
        <w:rPr>
          <w:rFonts w:ascii="Times New Roman" w:hAnsi="Times New Roman"/>
          <w:b w:val="0"/>
          <w:sz w:val="24"/>
        </w:rPr>
        <w:t xml:space="preserve">Versión reorganizada tras la asesoría del 31 de julio de 2026. Donde dice </w:t>
      </w:r>
      <w:r>
        <w:rPr>
          <w:rFonts w:ascii="Times New Roman" w:hAnsi="Times New Roman"/>
          <w:b w:val="0"/>
          <w:color w:val="CC0000"/>
          <w:sz w:val="24"/>
        </w:rPr>
        <w:t>〔TU VOZ: …〕</w:t>
      </w:r>
      <w:r>
        <w:rPr>
          <w:rFonts w:ascii="Times New Roman" w:hAnsi="Times New Roman"/>
          <w:b w:val="0"/>
          <w:sz w:val="24"/>
        </w:rPr>
        <w:t xml:space="preserve"> va tu aporte. Citas verificadas; </w:t>
      </w:r>
      <w:r>
        <w:rPr>
          <w:rFonts w:ascii="Times New Roman" w:hAnsi="Times New Roman"/>
          <w:b w:val="0"/>
          <w:color w:val="CC0000"/>
          <w:sz w:val="24"/>
        </w:rPr>
        <w:t>[VERIFICAR]</w:t>
      </w:r>
      <w:r>
        <w:rPr>
          <w:rFonts w:ascii="Times New Roman" w:hAnsi="Times New Roman"/>
          <w:b w:val="0"/>
          <w:sz w:val="24"/>
        </w:rPr>
        <w:t xml:space="preserve"> = confirmar dato antes de entregar.</w:t>
      </w:r>
    </w:p>
    <w:p>
      <w:pPr>
        <w:spacing w:after="120"/>
      </w:pPr>
      <w:r>
        <w:rPr>
          <w:rFonts w:ascii="Times New Roman" w:hAnsi="Times New Roman"/>
          <w:b w:val="0"/>
          <w:sz w:val="24"/>
        </w:rPr>
        <w:t>Anteproyecto de investigación doctoral</w:t>
      </w:r>
    </w:p>
    <w:p>
      <w:pPr>
        <w:spacing w:after="120"/>
      </w:pPr>
      <w:r>
        <w:rPr>
          <w:rFonts w:ascii="Times New Roman" w:hAnsi="Times New Roman"/>
          <w:b w:val="0"/>
          <w:sz w:val="24"/>
        </w:rPr>
        <w:t xml:space="preserve">Versión reorganizada tras la asesoría del 31 de julio de 2026. Donde dice </w:t>
      </w:r>
      <w:r>
        <w:rPr>
          <w:rFonts w:ascii="Times New Roman" w:hAnsi="Times New Roman"/>
          <w:b w:val="0"/>
          <w:color w:val="CC0000"/>
          <w:sz w:val="24"/>
        </w:rPr>
        <w:t>〔TU VOZ: …〕</w:t>
      </w:r>
      <w:r>
        <w:rPr>
          <w:rFonts w:ascii="Times New Roman" w:hAnsi="Times New Roman"/>
          <w:b w:val="0"/>
          <w:sz w:val="24"/>
        </w:rPr>
        <w:t xml:space="preserve"> va tu aporte. Citas verificadas; </w:t>
      </w:r>
      <w:r>
        <w:rPr>
          <w:rFonts w:ascii="Times New Roman" w:hAnsi="Times New Roman"/>
          <w:b w:val="0"/>
          <w:color w:val="CC0000"/>
          <w:sz w:val="24"/>
        </w:rPr>
        <w:t>[VERIFICAR]</w:t>
      </w:r>
      <w:r>
        <w:rPr>
          <w:rFonts w:ascii="Times New Roman" w:hAnsi="Times New Roman"/>
          <w:b w:val="0"/>
          <w:sz w:val="24"/>
        </w:rPr>
        <w:t xml:space="preserve"> = confirmar dato antes de entregar.</w:t>
      </w:r>
    </w:p>
    <w:p>
      <w:pPr>
        <w:spacing w:before="200" w:after="80"/>
      </w:pPr>
      <w:r>
        <w:rPr>
          <w:rFonts w:ascii="Times New Roman" w:hAnsi="Times New Roman"/>
          <w:b/>
          <w:color w:val="2E5A87"/>
          <w:sz w:val="26"/>
        </w:rPr>
        <w:t>Introducción</w:t>
      </w:r>
    </w:p>
    <w:p>
      <w:pPr>
        <w:spacing w:after="120"/>
      </w:pPr>
      <w:r>
        <w:rPr>
          <w:rFonts w:ascii="Times New Roman" w:hAnsi="Times New Roman"/>
          <w:b w:val="0"/>
          <w:sz w:val="24"/>
        </w:rPr>
        <w:t>El presente anteproyecto formula una investigación doctoral orientada a comprender, desde los relatos de sus propios protagonistas, cómo se relacionan las prácticas de inclusión educativa y las vivencias socioemocionales de los estudiantes con dificultades de aprendizaje —y de sus docentes— en instituciones de básica secundaria de Córdoba (Colombia). Se inscribe en el énfasis de Políticas Contemporáneas y Gestión Educativa, bajo un paradigma histórico-hermenéutico de orientación crítica, con enfoque cualitativo de alcance comprensivo y un diseño de investigación narrativa. Su propósito no es medir competencias ni intervenir para transformar en un solo ciclo, sino comprender en profundidad —desde las voces narradas y en dos contextos, semirural y urbano— cómo se vive esa relación, y derivar, desde esa comprensión, lineamientos para la política educativa y para la orientación escolar.</w:t>
      </w:r>
    </w:p>
    <w:p>
      <w:pPr>
        <w:spacing w:after="120"/>
      </w:pPr>
      <w:r>
        <w:rPr>
          <w:rFonts w:ascii="Times New Roman" w:hAnsi="Times New Roman"/>
          <w:b w:val="0"/>
          <w:sz w:val="24"/>
        </w:rPr>
        <w:t>La opción por la investigación narrativa no es una preferencia de estilo: se sigue necesariamente de la naturaleza del fenómeno. Si la relación entre la inclusión y lo socioemocional se hace accesible por la vía del relato de quienes la viven, entonces el relato no es un insumo para el análisis sino la unidad misma de análisis, y el diseño que le corresponde es el narrativo (Larrosa et al., 1995; Connelly y Clandinin, 1995).</w:t>
      </w:r>
    </w:p>
    <w:p>
      <w:pPr>
        <w:spacing w:after="120"/>
      </w:pPr>
      <w:r>
        <w:rPr>
          <w:rFonts w:ascii="Times New Roman" w:hAnsi="Times New Roman"/>
          <w:b w:val="0"/>
          <w:color w:val="CC0000"/>
          <w:sz w:val="24"/>
        </w:rPr>
        <w:t>〔✍ TU VOZ — Abrí con tu motivación, en primera persona. EJEMPLO: «Llevo [años] como orientadora en [institución]. Investigo esto porque [tu razón real]; lo que me mueve es [qué te indigna o te esperanza]».〕</w:t>
      </w:r>
    </w:p>
    <w:p>
      <w:pPr>
        <w:spacing w:before="200" w:after="80"/>
      </w:pPr>
      <w:r>
        <w:rPr>
          <w:rFonts w:ascii="Times New Roman" w:hAnsi="Times New Roman"/>
          <w:b/>
          <w:color w:val="2E5A87"/>
          <w:sz w:val="26"/>
        </w:rPr>
        <w:t>1. Planteamiento del problema</w:t>
      </w:r>
    </w:p>
    <w:p>
      <w:pPr>
        <w:spacing w:after="120"/>
      </w:pPr>
      <w:r>
        <w:rPr>
          <w:rFonts w:ascii="Times New Roman" w:hAnsi="Times New Roman"/>
          <w:b w:val="0"/>
          <w:sz w:val="24"/>
        </w:rPr>
        <w:t>La educación inclusiva se ha consolidado como un principio de justicia social y como un derecho, antes que como una técnica pedagógica (Shaeffer, 2019). En el plano internacional, la Declaración de Salamanca (UNESCO, 1994) y la Convención sobre los Derechos de las Personas con Discapacidad —cuyo artículo 24 (ONU, 2006) fue interpretado de manera autorizada por la Observación General N.º 4 del Comité (2016)— instalaron el modelo social: la exclusión no reside en el sujeto, sino en las barreras del entorno. La meta 4.5 de los Objetivos de Desarrollo Sostenible (ONU, 2015) compromete, además, a eliminar las disparidades y garantizar el acceso en condiciones de igualdad. En el plano regional, los diagnósticos de la UNESCO-OREALC y la CEPAL muestran que América Latina comparte un patrón estructural: inclusión robusta “de derecho” con implementación desigual “de hecho”, persistencia del modelo médico y desatención de la ruralidad. Colombia incorpora ese mandato —junto con la Constitución Política (1991, arts. 13, 44 y 67) y el Código de la Infancia y la Adolescencia (Ley 1098 de 2006)— y lo traduce en el Decreto 1421 de 2017 (compilado en el Decreto Único 1075 de 2015), que define sus dos dispositivos centrales: el Diseño Universal para el Aprendizaje (DUA) y el Plan Individual de Ajustes Razonables (PIAR). Su implementación, sin embargo, no depende solo del nivel nacional: descansa en la capacidad de la Entidad Territorial Certificada —la Secretaría de Educación de la que depende la institución—, que provee (o no) docente de apoyo pedagógico, equipo interdisciplinario y registro en el SIMAT.</w:t>
      </w:r>
    </w:p>
    <w:p>
      <w:pPr>
        <w:spacing w:after="120"/>
      </w:pPr>
      <w:r>
        <w:rPr>
          <w:rFonts w:ascii="Times New Roman" w:hAnsi="Times New Roman"/>
          <w:b w:val="0"/>
          <w:sz w:val="24"/>
        </w:rPr>
        <w:t>Sin embargo, entre la arquitectura normativa y la vida cotidiana del aula se abre una distancia que no obedece a la voluntad de los docentes: muchos maestros se esfuerzan e implementan el DUA y el PIAR, pero lo hacen en condiciones estructurales adversas —sin formación suficiente, sin tiempo, sin recursos y sin acompañamiento—. El punto ciego socioemocional no proviene de un silencio absoluto del Estado —que, por el contrario, ha multiplicado las normas sobre lo emocional en carriles paralelos: primero la convivencia escolar (Ley 1620 de 2013) y la Cátedra de la Paz (Ley 1732 de 2014), y muy recientemente un corpus socioemocional explícito (Ley 2383 de 2024, de educación socioemocional transversal; Ley 2491 de 2025, que incorpora el componente de competencias socioemocionales a los Proyectos Educativos Institucionales; Ley 2503 de 2025, que crea la Cátedra de Educación Emocional; y la Ley 2460 de 2025 de salud mental)—, sino de una desarticulación: ninguna de esas normas se articula con la política específica de inclusión (Decreto 1421 de 2017), de modo que lo socioemocional de la inclusión no se nombra, no se mide ni se rinde, y por tanto no existe para la gestión. La paradoja es elocuente: cuatro leyes en menos de doce meses regulan lo socioemocional, pero su proliferación no cierra la brecha, sino que la reproduce —se legisla en paralelo, con reglamentación y financiación diferidas (hacia 2026 en el caso de la Cátedra)—, y en una institución semirural de baja capacidad ese exceso normativo puede ensanchar, no estrechar, la distancia entre el enunciado legal y el aula. La norma prescribe, además, una secuencia —primero el DUA, universal; solo si no basta, el PIAR, individual—, pero en la práctica institucional el DUA tiende a quedar desactivado y el PIAR se usa de manera reactiva, reservado para quien ya tiene un diagnóstico de discapacidad. Aquí se anuda una costura jurídica: como los ajustes razonables del Decreto 1421 se atan a la discapacidad, un estudiante con una dificultad o un trastorno de aprendizaje que no alcanza ese umbral puede quedar fuera del dispositivo formal; y en el territorio semirural, donde el diagnóstico depende de una oferta de salud escasa y distante, ese umbral se vuelve casi inalcanzable: sin diagnóstico no hay PIAR y, sin PIAR, el estudiante queda invisible para la ruta. El docente opera como “burócrata de calle” (Lipsky, 1980): traduce la política en el aula, pero su margen está condicionado por el diseño de la política y los recursos, no por su carácter. Por eso las respuestas varían —del ajuste pertinente del DUA a la rebaja de la exigencia o la omisión—; la rebaja de exigencia es un mecanismo de afrontamiento ante un vacío de política y de recursos, efecto estructural y no falla moral. Cabe precisar que el DUA sí contempla lo afectivo —su principio de implicación—, pero ese componente queda subutilizado y el PIAR lo reduce a un ajuste cognitivo-curricular. En diálogo crítico con la evidencia psicoeducativa, que muestra que las relaciones docente-estudiante condicionan la inclusión y lo socioemocional (Roorda et al., 2017; Llorent et al., 2024), el análisis desplaza el foco del individuo a las condiciones institucionales.</w:t>
      </w:r>
    </w:p>
    <w:p>
      <w:pPr>
        <w:spacing w:after="120"/>
      </w:pPr>
      <w:r>
        <w:rPr>
          <w:rFonts w:ascii="Times New Roman" w:hAnsi="Times New Roman"/>
          <w:b w:val="0"/>
          <w:sz w:val="24"/>
        </w:rPr>
        <w:t>El problema de fondo es que, en la práctica, tanto el DUA como el PIAR se concretan sobre el aprendizaje, mientras la dimensión socioemocional permanece como punto ciego de la política: una exclusión que el sistema no logra evitar. Lo socioemocional se entiende aquí como cuestión de reconocimiento y justicia, y no como bienestar individual a medir: la “exclusión sentida” se lee como una falla de paridad participativa en sus tres dimensiones (Fraser, 2008) —redistribución (las barreras materiales del territorio semirural, como el acceso desigual al diagnóstico), reconocimiento (la valía negada; Honneth, 1992/1997) y representación (la ausencia de voz de los estudiantes en las decisiones que los afectan)—. Cuando, con buena intención, la inclusión se reduce a bajar la exigencia, puede comunicar una baja expectativa que el estudiante percibe como un menosprecio a su valía: allí se anudan las dos variables de esta tesis. Esta distancia entre la norma y el aula es reconocida incluso por la autoridad educativa territorial: en un webinar de formación docente de la Secretaría de Educación de Córdoba (Zabogal, 2026), el ponente previene contra una «inclusión de papel» y contra el uso del PIAR como formato generalizado, y advierte que en el territorio rural un mismo «ajuste razonable» resulta impracticable cuando faltan las condiciones materiales básicas —no puede fijarse un lector de pantalla como ajuste donde no hay electricidad—. Significativamente, ese mismo dispositivo institucional expone el DUA y el PIAR sin articularlos con el corpus normativo socioemocional, con lo que reproduce, en la propia formación docente, la desarticulación que este estudio problematiza.</w:t>
      </w:r>
    </w:p>
    <w:p>
      <w:pPr>
        <w:spacing w:after="120"/>
      </w:pPr>
      <w:r>
        <w:rPr>
          <w:rFonts w:ascii="Times New Roman" w:hAnsi="Times New Roman"/>
          <w:b/>
          <w:sz w:val="24"/>
        </w:rPr>
        <w:t>1.1 Territorialidad del problema</w:t>
      </w:r>
    </w:p>
    <w:p>
      <w:pPr>
        <w:spacing w:after="120"/>
      </w:pPr>
      <w:r>
        <w:rPr>
          <w:rFonts w:ascii="Times New Roman" w:hAnsi="Times New Roman"/>
          <w:b w:val="0"/>
          <w:sz w:val="24"/>
        </w:rPr>
        <w:t>El problema no ocurre en un lugar abstracto. Se sitúa en el departamento de Córdoba (Colombia), en dos contextos que expresan de manera distinta la misma tensión: el corregimiento de Martínez, primer corregimiento del municipio de Cereté —territorio semirural, permeado por las dinámicas del casco urbano—, y la ciudad de Montería, capital departamental. Esta doble localización no es un dato de escenario: es una condición del fenómeno, porque la capacidad de la Entidad Territorial Certificada, la disponibilidad de diagnóstico en salud, la presencia de orientación escolar y las trayectorias de vida de los estudiantes se distribuyen de manera desigual entre lo rural y lo urbano. La política de inclusión es la misma; lo que cambia es el territorio donde debe hacerse efectiva.</w:t>
      </w:r>
    </w:p>
    <w:p>
      <w:pPr>
        <w:spacing w:after="120"/>
      </w:pPr>
      <w:r>
        <w:rPr>
          <w:rFonts w:ascii="Times New Roman" w:hAnsi="Times New Roman"/>
          <w:b w:val="0"/>
          <w:sz w:val="24"/>
        </w:rPr>
        <w:t>Dos escenas, recogidas desde la posición de orientadora escolar de la investigadora y de carácter ilustrativo —no generalizable—, dan cuerpo al problema. En la primera, un estudiante a quien “para incluirlo” se le asignaron actividades menos complejas se sintió excluido, percibió el trato distinto y se preguntó por qué —una exclusión sentida, y un germen de concientización en sentido freireano (Freire, 1970)—. En la segunda, “José”, con un trastorno de aprendizaje no especificado, fue acompañado mediante el diálogo de la orientadora con el estudiante, la familia y el docente, con compromisos de mejora y resultados favorables. Ninguna de las dos pretende caracterizar la práctica de todos los docentes, que es diversa. Ambas anticipan, además, el material con el que trabajará esta investigación: relatos.</w:t>
      </w:r>
    </w:p>
    <w:p>
      <w:pPr>
        <w:spacing w:after="120"/>
      </w:pPr>
      <w:r>
        <w:rPr>
          <w:rFonts w:ascii="Times New Roman" w:hAnsi="Times New Roman"/>
          <w:b w:val="0"/>
          <w:color w:val="CC0000"/>
          <w:sz w:val="24"/>
        </w:rPr>
        <w:t>〔✍ TU VOZ — Reescribe las escenas en PRIMERA PERSONA y suma una tercera. EJEMPLO: «Como orientadora, en [mes/año] viví con José [grado] lo siguiente: [qué pasó, con diálogo textual]. Y no fue el único: también [segunda escena breve]». Pon el grado de José y, si puedes, una frase textual que te haya dicho un estudiante o un docente.〕</w:t>
      </w:r>
    </w:p>
    <w:p>
      <w:pPr>
        <w:spacing w:before="200" w:after="80"/>
      </w:pPr>
      <w:r>
        <w:rPr>
          <w:rFonts w:ascii="Times New Roman" w:hAnsi="Times New Roman"/>
          <w:b/>
          <w:color w:val="2E5A87"/>
          <w:sz w:val="26"/>
        </w:rPr>
        <w:t>2. Pregunta de investigación</w:t>
      </w:r>
    </w:p>
    <w:p>
      <w:pPr>
        <w:spacing w:after="120"/>
      </w:pPr>
      <w:r>
        <w:rPr>
          <w:rFonts w:ascii="Times New Roman" w:hAnsi="Times New Roman"/>
          <w:b w:val="0"/>
          <w:sz w:val="24"/>
        </w:rPr>
        <w:t>¿Cómo se relacionan las prácticas de inclusión educativa y las vivencias socioemocionales de los estudiantes con dificultades de aprendizaje y de sus docentes, en dos instituciones de básica secundaria —una semirural y una urbana— de Córdoba, Colombia?</w:t>
      </w:r>
    </w:p>
    <w:p>
      <w:pPr>
        <w:spacing w:after="120"/>
      </w:pPr>
      <w:r>
        <w:rPr>
          <w:rFonts w:ascii="Times New Roman" w:hAnsi="Times New Roman"/>
          <w:b/>
          <w:sz w:val="24"/>
        </w:rPr>
        <w:t>Subpreguntas orientadoras:</w:t>
      </w:r>
    </w:p>
    <w:p>
      <w:pPr>
        <w:spacing w:after="120"/>
      </w:pPr>
      <w:r>
        <w:rPr>
          <w:rFonts w:ascii="Times New Roman" w:hAnsi="Times New Roman"/>
          <w:b w:val="0"/>
          <w:sz w:val="24"/>
        </w:rPr>
        <w:t>1. ¿Cómo configuran los docentes sus prácticas de inclusión en cada contexto, según lo que ellos mismos narran? (OE1)</w:t>
      </w:r>
    </w:p>
    <w:p>
      <w:pPr>
        <w:spacing w:after="120"/>
      </w:pPr>
      <w:r>
        <w:rPr>
          <w:rFonts w:ascii="Times New Roman" w:hAnsi="Times New Roman"/>
          <w:b w:val="0"/>
          <w:sz w:val="24"/>
        </w:rPr>
        <w:t>2. ¿Cómo viven e interpretan los estudiantes con dificultades de aprendizaje su proceso de inclusión, narrado en primera persona? (OE2)</w:t>
      </w:r>
    </w:p>
    <w:p>
      <w:pPr>
        <w:spacing w:after="120"/>
      </w:pPr>
      <w:r>
        <w:rPr>
          <w:rFonts w:ascii="Times New Roman" w:hAnsi="Times New Roman"/>
          <w:b w:val="0"/>
          <w:sz w:val="24"/>
        </w:rPr>
        <w:t>3. ¿Qué relaciones se establecen entre esas prácticas y esas vivencias, y qué variaciones presentan entre el contexto semirural y el urbano? (OE3)</w:t>
      </w:r>
    </w:p>
    <w:p>
      <w:pPr>
        <w:spacing w:after="120"/>
      </w:pPr>
      <w:r>
        <w:rPr>
          <w:rFonts w:ascii="Times New Roman" w:hAnsi="Times New Roman"/>
          <w:b w:val="0"/>
          <w:sz w:val="24"/>
        </w:rPr>
        <w:t>4. ¿Qué lineamientos para la política de inclusión y para la orientación escolar se derivan de la interpretación de esos relatos? (OE4)</w:t>
      </w:r>
    </w:p>
    <w:p>
      <w:pPr>
        <w:spacing w:before="200" w:after="80"/>
      </w:pPr>
      <w:r>
        <w:rPr>
          <w:rFonts w:ascii="Times New Roman" w:hAnsi="Times New Roman"/>
          <w:b/>
          <w:color w:val="2E5A87"/>
          <w:sz w:val="26"/>
        </w:rPr>
        <w:t>3. Objetivos</w:t>
      </w:r>
    </w:p>
    <w:p>
      <w:pPr>
        <w:spacing w:after="120"/>
      </w:pPr>
      <w:r>
        <w:rPr>
          <w:rFonts w:ascii="Times New Roman" w:hAnsi="Times New Roman"/>
          <w:b w:val="0"/>
          <w:sz w:val="24"/>
        </w:rPr>
        <w:t>Objetivo general. Comprender críticamente, desde los relatos de sus protagonistas, cómo se relacionan las prácticas de inclusión educativa y las vivencias socioemocionales de los estudiantes con dificultades de aprendizaje y de sus docentes, en dos instituciones de básica secundaria —semirural y urbana— de Córdoba.</w:t>
      </w:r>
    </w:p>
    <w:p>
      <w:pPr>
        <w:spacing w:after="120"/>
      </w:pPr>
      <w:r>
        <w:rPr>
          <w:rFonts w:ascii="Times New Roman" w:hAnsi="Times New Roman"/>
          <w:b/>
          <w:sz w:val="24"/>
        </w:rPr>
        <w:t>Objetivos específicos:</w:t>
      </w:r>
    </w:p>
    <w:p>
      <w:pPr>
        <w:spacing w:after="120"/>
      </w:pPr>
      <w:r>
        <w:rPr>
          <w:rFonts w:ascii="Times New Roman" w:hAnsi="Times New Roman"/>
          <w:b w:val="0"/>
          <w:sz w:val="24"/>
        </w:rPr>
        <w:t>1. Caracterizar las prácticas de inclusión educativa que configuran los docentes en cada contexto, a partir de sus relatos.</w:t>
      </w:r>
    </w:p>
    <w:p>
      <w:pPr>
        <w:spacing w:after="120"/>
      </w:pPr>
      <w:r>
        <w:rPr>
          <w:rFonts w:ascii="Times New Roman" w:hAnsi="Times New Roman"/>
          <w:b w:val="0"/>
          <w:sz w:val="24"/>
        </w:rPr>
        <w:t>2. Interpretar las vivencias socioemocionales de los estudiantes con dificultades de aprendizaje, narradas en primera persona.</w:t>
      </w:r>
    </w:p>
    <w:p>
      <w:pPr>
        <w:spacing w:after="120"/>
      </w:pPr>
      <w:r>
        <w:rPr>
          <w:rFonts w:ascii="Times New Roman" w:hAnsi="Times New Roman"/>
          <w:b w:val="0"/>
          <w:sz w:val="24"/>
        </w:rPr>
        <w:t>3. Establecer las relaciones entre esas prácticas y esas vivencias, y sus variaciones entre el contexto semirural y el urbano.</w:t>
      </w:r>
    </w:p>
    <w:p>
      <w:pPr>
        <w:spacing w:after="120"/>
      </w:pPr>
      <w:r>
        <w:rPr>
          <w:rFonts w:ascii="Times New Roman" w:hAnsi="Times New Roman"/>
          <w:b w:val="0"/>
          <w:sz w:val="24"/>
        </w:rPr>
        <w:t>4. Derivar lineamientos para la política de inclusión y para la orientación escolar a partir de la interpretación de los relatos.</w:t>
      </w:r>
    </w:p>
    <w:p>
      <w:pPr>
        <w:spacing w:after="120"/>
      </w:pPr>
      <w:r>
        <w:rPr>
          <w:rFonts w:ascii="Times New Roman" w:hAnsi="Times New Roman"/>
          <w:b w:val="0"/>
          <w:sz w:val="24"/>
        </w:rPr>
        <w:t>Nota de coherencia: ningún objetivo específico repite el nivel de complejidad del objetivo general. El general comprende; los específicos caracterizan, interpretan, establecen y derivan. Cada subpregunta orientadora tiene su objetivo correspondiente, y el verbo de cada objetivo es coherente con el paradigma comprensivo declarado: ninguno implementa, mide ni evalúa.</w:t>
      </w:r>
    </w:p>
    <w:p>
      <w:pPr>
        <w:spacing w:before="200" w:after="80"/>
      </w:pPr>
      <w:r>
        <w:rPr>
          <w:rFonts w:ascii="Times New Roman" w:hAnsi="Times New Roman"/>
          <w:b/>
          <w:color w:val="2E5A87"/>
          <w:sz w:val="26"/>
        </w:rPr>
        <w:t>4. Justificación</w:t>
      </w:r>
    </w:p>
    <w:p>
      <w:pPr>
        <w:spacing w:after="120"/>
      </w:pPr>
      <w:r>
        <w:rPr>
          <w:rFonts w:ascii="Times New Roman" w:hAnsi="Times New Roman"/>
          <w:b w:val="0"/>
          <w:sz w:val="24"/>
        </w:rPr>
        <w:t>Pertinencia política. La investigación se sitúa en el énfasis del Doctorado en Ciencias de la Educación de la UTE en Políticas Contemporáneas y Gestión Educativa y, de manera específica, en su línea institucional de investigación «Análisis de Políticas para la Equidad y Eficiencia en la Educación del Siglo XXI», cuyos objetivos —el análisis de políticas inclusivas que atienden la diversidad de habilidades y la equidad, y la participación comunitaria en la toma de decisiones— coinciden con el objeto y el método de este estudio: examina cómo una política de inclusión (Decreto 1421 de 2017) aborda —o ignora— la dimensión socioemocional, y cómo se recontextualiza al descender por los niveles de gestión —nacional, territorial e institucional— hasta vivirse en el aula. Su aporte es iluminar un punto ciego de la política y ofrecer, desde la orientación escolar, criterios para una inclusión que no se agote en lo cognitivo; sus recomendaciones se dirigen tanto a la institución como a la Secretaría de Educación de la que esta depende.</w:t>
      </w:r>
    </w:p>
    <w:p>
      <w:pPr>
        <w:spacing w:after="120"/>
      </w:pPr>
      <w:r>
        <w:rPr>
          <w:rFonts w:ascii="Times New Roman" w:hAnsi="Times New Roman"/>
          <w:b w:val="0"/>
          <w:sz w:val="24"/>
        </w:rPr>
        <w:t>Pertinencia social. Atiende a estudiantes con dificultades de aprendizaje en un contexto semirural, históricamente subatendido por la investigación y por la oferta de servicios especializados, en clave de equidad y justicia social (Shaeffer, 2019).</w:t>
      </w:r>
    </w:p>
    <w:p>
      <w:pPr>
        <w:spacing w:after="120"/>
      </w:pPr>
      <w:r>
        <w:rPr>
          <w:rFonts w:ascii="Times New Roman" w:hAnsi="Times New Roman"/>
          <w:b w:val="0"/>
          <w:sz w:val="24"/>
        </w:rPr>
        <w:t>Pertinencia práctica y académica. La posición insider de la investigadora —orientadora escolar de una de las instituciones— habilita un acceso privilegiado a los relatos y una responsabilidad ética particular; y el vacío identificado en los antecedentes (ver sección 5) confirma la originalidad del enfoque.</w:t>
      </w:r>
    </w:p>
    <w:p>
      <w:pPr>
        <w:spacing w:after="120"/>
      </w:pPr>
      <w:r>
        <w:rPr>
          <w:rFonts w:ascii="Times New Roman" w:hAnsi="Times New Roman"/>
          <w:b w:val="0"/>
          <w:color w:val="CC0000"/>
          <w:sz w:val="24"/>
        </w:rPr>
        <w:t>〔TU VOZ: agregá tu motivación personal y el valor concreto que esto tendría para tu institución y tus estudiantes.〕</w:t>
      </w:r>
    </w:p>
    <w:p>
      <w:pPr>
        <w:spacing w:after="120"/>
      </w:pPr>
      <w:r>
        <w:rPr>
          <w:rFonts w:ascii="Times New Roman" w:hAnsi="Times New Roman"/>
          <w:b w:val="0"/>
          <w:sz w:val="24"/>
        </w:rPr>
        <w:t>Pertinencia empírica. Los datos oficiales delimitan el problema y fundamentan su relevancia. Durante 2022, de las 44.315 sedes educativas del país con estudiantes matriculados en condición de discapacidad, solo el 30,3 % se ubicaba en zona rural y casi el 70 % en zonas urbanas; en las sedes rurales que sí atienden esta población, el 40 % registra discapacidad cognitiva, la más próxima al campo de las dificultades de aprendizaje. A ello se suma que cerca de la mitad de los colegios rurales del país reportó no contar con profesionales para el acompañamiento psicosocial de sus estudiantes, y que el 42 % de los docentes rurales ocupa cargos provisionales frente al 27 % de los urbanos (Laboratorio de Economía de la Educación [LEE], 2024). El estudiante rural con dificultades de aprendizaje habita, por tanto, un doble margen: el de la ruralidad y el de una política cuyos dispositivos de atención se concentran donde él no está; y la figura llamada a mediar entre la norma y la vivencia —la orientación escolar— falta en la mitad de esas escuelas.</w:t>
      </w:r>
    </w:p>
    <w:p>
      <w:pPr>
        <w:spacing w:after="120"/>
      </w:pPr>
      <w:r>
        <w:rPr>
          <w:rFonts w:ascii="Times New Roman" w:hAnsi="Times New Roman"/>
          <w:b w:val="0"/>
          <w:sz w:val="24"/>
        </w:rPr>
        <w:t>Fundamentación de la selección de los contextos. La elección de las instituciones es una decisión metodológica y no de conveniencia de acceso. Primero, la institución semirural presenta un desempeño sostenido que la distingue de la tendencia rural: a partir de los microdatos del Instituto Colombiano para la Evaluación de la Educación —un registro por estudiante— se calculó el promedio de puntaje global por establecimiento en el municipio de Cereté, y la I. E. Alfonso Spath Spath obtuvo el primer lugar entre los catorce establecimientos oficiales del municipio en 2015 (254,2 puntos con 65 evaluados) y en 2017 (262,5 con 83), el segundo en 2019 (244,6 con 146) y el cuarto en 2022 (243,0 con 166), año en el que fue superada por décimas por tres establecimientos rurales y se mantuvo por encima de todos los oficiales urbanos. El hallazgo relevante no es la posición puntual en el escalafón, sino que la institución sostuvo su nivel de desempeño mientras el número de estudiantes evaluados se multiplicaba por dos y media: sostener el puntaje mientras se amplía de manera considerable la población que presenta la prueba es un indicador más robusto que un primer lugar en un año determinado. Segundo, la institución cuenta con la figura de orientación escolar, ausente en cerca de la mitad de las escuelas rurales del país: es un escenario donde la mediación entre la norma de inclusión y la vivencia socioemocional efectivamente ocurre y puede narrarse. Tercero, la condición semirural del corregimiento de Martínez —primer corregimiento del municipio, permeado por dinámicas del casco urbano— es analíticamente productiva porque permite observar la reconfiguración de las prácticas en un territorio de frontera. Cuarto, el contraste con lo urbano no opone carencia y ventaja: según las estadísticas sectoriales del Ministerio de Educación Nacional (2025) para el año 2024, Montería registra la mayor reprobación en secundaria de los municipios considerados (15,15 %, frente a 9,98 % en Cereté) y una cobertura neta en media inferior a la de Cereté (50,83 % frente a 55,05 %). El contraste enfrenta, así, dos configuraciones distintas del mismo problema y no un contexto deficitario frente a uno aventajado.</w:t>
      </w:r>
    </w:p>
    <w:p>
      <w:pPr>
        <w:spacing w:before="200" w:after="80"/>
      </w:pPr>
      <w:r>
        <w:rPr>
          <w:rFonts w:ascii="Times New Roman" w:hAnsi="Times New Roman"/>
          <w:b/>
          <w:color w:val="2E5A87"/>
          <w:sz w:val="26"/>
        </w:rPr>
        <w:t>5. Antecedentes / estado del arte</w:t>
      </w:r>
    </w:p>
    <w:p>
      <w:pPr>
        <w:spacing w:after="120"/>
      </w:pPr>
      <w:r>
        <w:rPr>
          <w:rFonts w:ascii="Times New Roman" w:hAnsi="Times New Roman"/>
          <w:b w:val="0"/>
          <w:sz w:val="24"/>
        </w:rPr>
        <w:t>La revisión de tesis doctorales y artículos (2020–2025; Dialnet, repositorios institucionales y bases académicas) muestra un patrón dominante: lo socioemocional se aborda como competencias a desarrollar o medir (en la línea de Bisquerra o Goleman), desde enfoques positivistas o interpretativos, y con foco en el profesorado o en la educación primaria; cuando se aborda como vivencia, suele hacerse de manera descriptiva, en un solo contexto y sin lente de política. Tesis de título cercano, como la de Rojas Aguilar (2025), se inscriben en un enfoque interpretativo-fenomenológico centrado en un contexto. A diferencia de esos trabajos, la presente investigación se distingue por cuatro rasgos que configuran su originalidad: (a) asume lo socioemocional como vivencia narrada y leída desde una hermenéutica crítica con lente de política —el punto ciego socioemocional de la política de inclusión—; (b) adopta un diseño narrativo con contraste entre un contexto semirural y uno urbano; (c) incorpora, a dos voces, la experiencia de los estudiantes con dificultades y la de sus docentes; y (d) se sitúa en el territorio de Córdoba.</w:t>
      </w:r>
    </w:p>
    <w:p>
      <w:pPr>
        <w:spacing w:after="120"/>
      </w:pPr>
      <w:r>
        <w:rPr>
          <w:rFonts w:ascii="Times New Roman" w:hAnsi="Times New Roman"/>
          <w:b w:val="0"/>
          <w:sz w:val="24"/>
        </w:rPr>
        <w:t>A escala regional, la conversación latinoamericana sobre inclusión —documentada por la UNESCO-OREALC y la CEPAL— confirma el patrón estructural (inclusión “de derecho” sin condiciones “de hecho”, modelo médico persistente, ruralidad desatendida), lo que sitúa el caso cordobés como expresión de un fenómeno regional. El contexto colombiano y, en particular, la lectura narrativa de la experiencia vivida de esa relación entre contextos semirural y urbano están prácticamente ausentes de la literatura específica: una búsqueda de “vivencias socioemocionales” en estudiantes con dificultades no arrojó antecedentes directos, y menos aún reconstruidas por vía narrativa e incluyendo la voz de los docentes. Dos tesis doctorales recientes de Montería —Córdoba— (Pastrana Acosta, 2025; Humanez Ruiz, 2026) muestran la vitalidad de la investigación cualitativa en el territorio, pero son estudios de un solo contexto. El cruce que esta tesis propone —experiencia vivida narrada × relación inclusión-socioemocionalidad × estudiantes y docentes × lente de política × contraste semirural y urbano de Córdoba— permanece vacante.</w:t>
      </w:r>
    </w:p>
    <w:p>
      <w:pPr>
        <w:spacing w:after="120"/>
      </w:pPr>
      <w:r>
        <w:rPr>
          <w:rFonts w:ascii="Times New Roman" w:hAnsi="Times New Roman"/>
          <w:b w:val="0"/>
          <w:sz w:val="24"/>
        </w:rPr>
        <w:t>Estado de avance de la revisión: la matriz de antecedentes se construye con un mínimo de veinticinco tesis doctorales del período 2020–2025, organizadas en el descenso de lo global a lo local (internacional, América Latina, Colombia, Córdoba), e incorpora además una línea específica de trabajos cuya metodología sea la investigación narrativa, a fin de familiarizarse tanto con el tema como con el modo de presentar la información propio de ese diseño. Los referentes clásicos —entre ellos los de la propia metodología narrativa— no se computan como antecedentes, sino como fundamentación teórica y metodológica. (Matriz completa en documento anexo.)</w:t>
      </w:r>
    </w:p>
    <w:p>
      <w:pPr>
        <w:spacing w:after="120"/>
      </w:pPr>
      <w:r>
        <w:rPr>
          <w:rFonts w:ascii="Times New Roman" w:hAnsi="Times New Roman"/>
          <w:b w:val="0"/>
          <w:color w:val="CC0000"/>
          <w:sz w:val="24"/>
        </w:rPr>
        <w:t>〔TU VOZ: cuando fiches las tesis, integrá aquí 2-3 hallazgos puntuales de cada una.〕</w:t>
      </w:r>
    </w:p>
    <w:p>
      <w:pPr>
        <w:spacing w:after="120"/>
      </w:pPr>
      <w:r>
        <w:rPr>
          <w:rFonts w:ascii="Times New Roman" w:hAnsi="Times New Roman"/>
          <w:b w:val="0"/>
          <w:sz w:val="24"/>
        </w:rPr>
        <w:t>Antecedentes empíricos del contexto. Junto a la revisión de la literatura, la construcción del problema se apoya en dos frentes de antecedentes empíricos. El primero es la historicidad de la política: la inclusión educativa y la educación socioemocional han sido normadas en Colombia por dos carriles legislativos paralelos que hasta hoy no se encuentran. El corpus socioemocional expedido entre 2024 y 2025 —Leyes 2383, 2460, 2491 y 2503— no menciona en ningún caso el Decreto 1421 de 2017, norma eje de la inclusión, y los Lineamientos curriculares para la formación ciudadana y el desarrollo socioemocional (MEN, 2026a) lo citan únicamente para tomar prestadas la definición de currículo y la de ajustes razonables, adoptando además el marco de competencias socioemocionales de CASEL. Cuatro leyes en menos de doce meses indican que el Estado reconoce la urgencia del asunto; su falta de articulación con la norma de inclusión indica que el estudiante con dificultades de aprendizaje queda en el intersticio de ambos carriles.</w:t>
      </w:r>
    </w:p>
    <w:p>
      <w:pPr>
        <w:spacing w:after="120"/>
      </w:pPr>
      <w:r>
        <w:rPr>
          <w:rFonts w:ascii="Times New Roman" w:hAnsi="Times New Roman"/>
          <w:b w:val="0"/>
          <w:sz w:val="24"/>
        </w:rPr>
        <w:t>El segundo frente es el contexto territorial. De las 55.889 sedes educativas del país, el 67 % se localiza en zonas rurales, pero solo el 18,6 % de ellas ofrece básica secundaria —frente al 46,8 % de las urbanas—, de modo que el nivel donde se sitúa esta investigación es el eslabón más estrecho de la oferta rural; la brecha de aprendizaje medida en Saber 11 alcanzó 26,4 puntos entre estudiantes urbanos y rurales en 2022, mayor que antes de la pandemia (LEE, 2024). En el nivel municipal, las estadísticas sectoriales de 2024 muestran que Cereté presenta una cobertura neta superior a la mediana departamental y nacional (87,91 % frente a 82,22 % y 80,48 %) y, al mismo tiempo, una repitencia en secundaria superior a ambas (15,07 % frente a 12,41 % y 11,22 %), con una deserción en ese nivel que casi triplica la de primaria (MEN, 2025). El problema del territorio, por tanto, no es de acceso sino de permanencia y de logro, y se concentra precisamente en la básica secundaria.</w:t>
      </w:r>
    </w:p>
    <w:p>
      <w:pPr>
        <w:spacing w:after="120"/>
      </w:pPr>
      <w:r>
        <w:rPr>
          <w:rFonts w:ascii="Times New Roman" w:hAnsi="Times New Roman"/>
          <w:b w:val="0"/>
          <w:sz w:val="24"/>
        </w:rPr>
        <w:t xml:space="preserve">Lectura de los planes de desarrollo. La contextualización incorpora, además, la revisión de los planes de desarrollo nacional, departamental (Córdoba) y municipales (Cereté y Montería) en materia educativa y, específicamente, en lo referido a inclusión y a bienestar socioemocional, con el fin de identificar qué se compromete el Estado a hacer en el territorio donde ocurre el fenómeno. </w:t>
      </w:r>
      <w:r>
        <w:rPr>
          <w:rFonts w:ascii="Times New Roman" w:hAnsi="Times New Roman"/>
          <w:b w:val="0"/>
          <w:color w:val="CC0000"/>
          <w:sz w:val="24"/>
        </w:rPr>
        <w:t>〔TU VOZ: cuando los leas, anota qué líneas concretas aparecen y cuáles no.〕</w:t>
      </w:r>
    </w:p>
    <w:p>
      <w:pPr>
        <w:spacing w:before="200" w:after="80"/>
      </w:pPr>
      <w:r>
        <w:rPr>
          <w:rFonts w:ascii="Times New Roman" w:hAnsi="Times New Roman"/>
          <w:b/>
          <w:color w:val="2E5A87"/>
          <w:sz w:val="26"/>
        </w:rPr>
        <w:t>6. Marco teórico-conceptual</w:t>
      </w:r>
    </w:p>
    <w:p>
      <w:pPr>
        <w:spacing w:after="120"/>
      </w:pPr>
      <w:r>
        <w:rPr>
          <w:rFonts w:ascii="Times New Roman" w:hAnsi="Times New Roman"/>
          <w:b w:val="0"/>
          <w:sz w:val="24"/>
        </w:rPr>
        <w:t>Cuatro categorías articulan el estudio. (a) Inclusión educativa, entendida desde el modelo social de la discapacidad —la barrera está en el entorno— y como creación de condiciones más que ajuste individual; se asumen como categorías analíticas las barreras al aprendizaje y la participación y el enfoque de escuela como totalidad (Booth y Ainscow, 2002; Echeita, 2013), operacionalizada en Colombia por el Decreto 1421 de 2017 (DUA, PIAR, ajustes razonables). La categoría «dificultades de aprendizaje», de origen clínico, se asume críticamente como barrera contextual, no como déficit del sujeto. (b) Socioemocionalidad, comprendida no como competencias individuales a entrenar —en contraste explícito con el marco hegemónico del aprendizaje social y emocional (SEL/CASEL), que esta tesis discute críticamente—, sino como vivencia situada y como cuestión de reconocimiento y justicia: el reconocimiento/menosprecio configura la experiencia escolar (Honneth, 1992/1997) y la exclusión sentida es una falla de paridad participativa en sus tres dimensiones —redistribución, reconocimiento y representación— (Fraser, 2008). (c) Mediación de la política: entre el texto de la norma y su efecto en el aula media un proceso de recontextualización o puesta en acto (Ball et al., 2012), en el que el docente actúa como “burócrata de calle” (Lipsky, 1980); entendida la política como campo de poder (Apple, 2012) y su implementación como gestión del cambio (Fullan, 2007), la brecha es un policy gap —de recursos, formación y rendición de cuentas—, no falta de voluntad. Esta lente de política, conservada como horizonte de interpretación, es la que otorga al estudio su carácter crítico. (d) Comprensión de la experiencia narrada: la comprensión (verstehen) de la experiencia vivida en la tradición de Dilthey, la hermenéutica de Gadamer (1960/1993) y de Ricoeur (1976/2006), y la elaboración narrativa de la experiencia como forma legítima de conocimiento educativo (Larrosa et al., 1995; Connelly y Clandinin, 1995). En la línea de la hermenéutica crítica —recogida en el debate Gadamer–Habermas—, la interpretación de las vivencias narradas no renuncia a la crítica de las condiciones estructurales que las producen.</w:t>
      </w:r>
    </w:p>
    <w:p>
      <w:pPr>
        <w:spacing w:after="120"/>
      </w:pPr>
      <w:r>
        <w:rPr>
          <w:rFonts w:ascii="Times New Roman" w:hAnsi="Times New Roman"/>
          <w:b w:val="0"/>
          <w:sz w:val="24"/>
        </w:rPr>
        <w:t>Se mantiene la coherencia de corriente. Los autores que sostienen la lectura crítica del estudio pertenecen a una misma tradición —Freire, Fraser, Honneth, Apple, Lipsky, Ball— y no se combinan con marcos de corrientes incompatibles; los referentes de la metodología narrativa constituyen un bloque propio, con función metodológica y no teórica.</w:t>
      </w:r>
    </w:p>
    <w:p>
      <w:pPr>
        <w:spacing w:after="120"/>
      </w:pPr>
      <w:r>
        <w:rPr>
          <w:rFonts w:ascii="Times New Roman" w:hAnsi="Times New Roman"/>
          <w:b/>
          <w:sz w:val="24"/>
        </w:rPr>
        <w:t>6.1 Marco normativo multinivel</w:t>
      </w:r>
    </w:p>
    <w:p>
      <w:pPr>
        <w:spacing w:after="120"/>
      </w:pPr>
      <w:r>
        <w:rPr>
          <w:rFonts w:ascii="Times New Roman" w:hAnsi="Times New Roman"/>
          <w:b w:val="0"/>
          <w:sz w:val="24"/>
        </w:rPr>
        <w:t>Más que un listado, este marco se lee como una cadena que desciende de lo global a lo local: cada nivel debería traducir el principio del anterior, y el “punto ciego” socioemocional se produce justamente en las costuras donde esa traducción se interrumpe.</w:t>
      </w:r>
    </w:p>
    <w:p>
      <w:pPr>
        <w:spacing w:after="120"/>
      </w:pPr>
      <w:r>
        <w:rPr>
          <w:rFonts w:ascii="Times New Roman" w:hAnsi="Times New Roman"/>
          <w:b w:val="0"/>
          <w:sz w:val="24"/>
        </w:rPr>
        <w:t>• Internacional: Convención sobre los Derechos del Niño (ONU, 1989); Declaración de Salamanca (UNESCO, 1994); Convención sobre los Derechos de las Personas con Discapacidad (ONU, 2006, art. 24) y su Observación General N.º 4 (Comité, 2016); Agenda 2030 — ODS 4, meta 4.5 (ONU, 2015).</w:t>
      </w:r>
    </w:p>
    <w:p>
      <w:pPr>
        <w:spacing w:after="120"/>
      </w:pPr>
      <w:r>
        <w:rPr>
          <w:rFonts w:ascii="Times New Roman" w:hAnsi="Times New Roman"/>
          <w:b w:val="0"/>
          <w:sz w:val="24"/>
        </w:rPr>
        <w:t xml:space="preserve">• Regional (América Latina): marcos y diagnósticos de la UNESCO-OREALC (Santiago) y la CEPAL, y la agenda E2030 regional. </w:t>
      </w:r>
      <w:r>
        <w:rPr>
          <w:rFonts w:ascii="Times New Roman" w:hAnsi="Times New Roman"/>
          <w:b w:val="0"/>
          <w:color w:val="CC0000"/>
          <w:sz w:val="24"/>
        </w:rPr>
        <w:t>[VERIFICAR títulos/años de los instrumentos específicos]</w:t>
      </w:r>
    </w:p>
    <w:p>
      <w:pPr>
        <w:spacing w:after="120"/>
      </w:pPr>
      <w:r>
        <w:rPr>
          <w:rFonts w:ascii="Times New Roman" w:hAnsi="Times New Roman"/>
          <w:b w:val="0"/>
          <w:sz w:val="24"/>
        </w:rPr>
        <w:t>• Nacional: Constitución Política de Colombia (1991, arts. 13, 44, 67); Ley 115 de 1994; Ley 1098 de 2006; Ley Estatutaria 1618 de 2013; Decreto 1421 de 2017 (DUA/PIAR; compilado en el Decreto 1075 de 2015). Carril socioemocional paralelo —hoy desarticulado de la inclusión—: Ley 1620 de 2013 y Decreto 1965 de 2013 (convivencia escolar); Ley 1732 de 2014 y Decreto 1038 de 2015 (Cátedra de la Paz); competencias ciudadanas y PESCC (MEN); y un corpus socioemocional reciente y en expansión —Ley 2383 de 2024, Ley 2491 de 2025, Ley 2503 de 2025 y Ley 2460 de 2025— que se expide sin articularse con el Decreto 1421. Es la capa más contemporánea de la cadena, y la que da máxima vigencia al problema.</w:t>
      </w:r>
    </w:p>
    <w:p>
      <w:pPr>
        <w:spacing w:after="120"/>
      </w:pPr>
      <w:r>
        <w:rPr>
          <w:rFonts w:ascii="Times New Roman" w:hAnsi="Times New Roman"/>
          <w:b w:val="0"/>
          <w:sz w:val="24"/>
        </w:rPr>
        <w:t xml:space="preserve">• Reglamentación reciente del DUA: se incorpora al análisis documental la resolución expedida por el Ministerio de Educación Nacional a finales de julio de 2026 sobre la implementación del Diseño Universal para el Aprendizaje, que insiste en su aplicación universal frente a la práctica extendida de pasar directamente al PIAR. </w:t>
      </w:r>
      <w:r>
        <w:rPr>
          <w:rFonts w:ascii="Times New Roman" w:hAnsi="Times New Roman"/>
          <w:b w:val="0"/>
          <w:color w:val="CC0000"/>
          <w:sz w:val="24"/>
        </w:rPr>
        <w:t>[VERIFICAR número, fecha y texto oficial de la resolución]</w:t>
      </w:r>
    </w:p>
    <w:p>
      <w:pPr>
        <w:spacing w:after="120"/>
      </w:pPr>
      <w:r>
        <w:rPr>
          <w:rFonts w:ascii="Times New Roman" w:hAnsi="Times New Roman"/>
          <w:b w:val="0"/>
          <w:sz w:val="24"/>
        </w:rPr>
        <w:t xml:space="preserve">• Territorial / meso (gobernanza): la Entidad Territorial Certificada traduce la política mediante el Plan de Implementación Progresiva, la asignación de docente de apoyo pedagógico y equipo interdisciplinario, el reporte en el SIMAT y el financiamiento del Sistema General de Participaciones (Ley 715 de 2001). Es el eslabón donde la capacidad institucional —desigual en lo semirural— habilita o frustra la inclusión. </w:t>
      </w:r>
      <w:r>
        <w:rPr>
          <w:rFonts w:ascii="Times New Roman" w:hAnsi="Times New Roman"/>
          <w:b w:val="0"/>
          <w:color w:val="CC0000"/>
          <w:sz w:val="24"/>
        </w:rPr>
        <w:t>[VERIFICAR artículos del Decreto 1421 sobre obligaciones de las ETC]</w:t>
      </w:r>
    </w:p>
    <w:p>
      <w:pPr>
        <w:spacing w:after="120"/>
      </w:pPr>
      <w:r>
        <w:rPr>
          <w:rFonts w:ascii="Times New Roman" w:hAnsi="Times New Roman"/>
          <w:b w:val="0"/>
          <w:sz w:val="24"/>
        </w:rPr>
        <w:t xml:space="preserve">• Institucional: PEI, manual de convivencia y ruta de atención de cada institución. </w:t>
      </w:r>
      <w:r>
        <w:rPr>
          <w:rFonts w:ascii="Times New Roman" w:hAnsi="Times New Roman"/>
          <w:b w:val="0"/>
          <w:color w:val="CC0000"/>
          <w:sz w:val="24"/>
        </w:rPr>
        <w:t>〔TU VOZ: qué dicen sobre inclusión y acompañamiento socioemocional; e indicá de qué Secretaría depende tu institución〕</w:t>
      </w:r>
      <w:r>
        <w:rPr>
          <w:rFonts w:ascii="Times New Roman" w:hAnsi="Times New Roman"/>
          <w:b w:val="0"/>
          <w:sz w:val="24"/>
        </w:rPr>
        <w:t>.</w:t>
      </w:r>
    </w:p>
    <w:p>
      <w:pPr>
        <w:spacing w:before="200" w:after="80"/>
      </w:pPr>
      <w:r>
        <w:rPr>
          <w:rFonts w:ascii="Times New Roman" w:hAnsi="Times New Roman"/>
          <w:b/>
          <w:color w:val="2E5A87"/>
          <w:sz w:val="26"/>
        </w:rPr>
        <w:t>7. Diseño metodológico</w:t>
      </w:r>
    </w:p>
    <w:p>
      <w:pPr>
        <w:spacing w:after="120"/>
      </w:pPr>
      <w:r>
        <w:rPr>
          <w:rFonts w:ascii="Times New Roman" w:hAnsi="Times New Roman"/>
          <w:b w:val="0"/>
          <w:sz w:val="24"/>
        </w:rPr>
        <w:t>Paradigma. Histórico-hermenéutico de orientación crítica. La investigación busca comprender e interpretar la experiencia vivida (Dilthey; Gadamer, 1960/1993; Ricoeur, 1976/2006) y, en la línea de la hermenéutica crítica, lee esa experiencia con una lente de política que no renuncia a la crítica de las condiciones estructurales que la producen. No persigue una intervención transformadora en un ciclo, sino una comprensión profunda de la que se derivan lineamientos. Ontológicamente, asume una realidad histórica e intersubjetiva; epistemológicamente, se sitúa en el círculo hermenéutico, en el que la comprensión de las partes y la del todo se corrigen mutuamente.</w:t>
      </w:r>
    </w:p>
    <w:p>
      <w:pPr>
        <w:spacing w:after="120"/>
      </w:pPr>
      <w:r>
        <w:rPr>
          <w:rFonts w:ascii="Times New Roman" w:hAnsi="Times New Roman"/>
          <w:b w:val="0"/>
          <w:sz w:val="24"/>
        </w:rPr>
        <w:t>Enfoque. Cualitativo, de alcance comprensivo. El interés no está en cuantificar la frecuencia de un hecho, sino en comprender el sentido que los sujetos atribuyen a lo que viven.</w:t>
      </w:r>
    </w:p>
    <w:p>
      <w:pPr>
        <w:spacing w:after="120"/>
      </w:pPr>
      <w:r>
        <w:rPr>
          <w:rFonts w:ascii="Times New Roman" w:hAnsi="Times New Roman"/>
          <w:b w:val="0"/>
          <w:sz w:val="24"/>
        </w:rPr>
        <w:t>Diseño. Investigación narrativa (relatos de vida). El estudio adopta el diseño narrativo porque el fenómeno se hace accesible por la vía del relato: es en el relato donde la práctica de inclusión y la vivencia socioemocional aparecen anudadas, tal como las experimentan quienes las protagonizan. La investigación narrativa asume que profesores y estudiantes son contadores de historias y, a la vez, personajes en las historias de otros, y que el relato de experiencia deja de ser anécdota para constituirse en una forma legítima de generar conocimiento educativo (Connelly y Clandinin, 1995; Larrosa et al., 1995). Frente a otros diseños del campo comprensivo, la elección se fundamenta así: el estudio de casos organizaría el material en torno a unidades institucionales delimitadas, cuando lo que aquí interesa es la trayectoria vivida y narrada; y las perspectivas centradas en la construcción grupal de significados —como el interaccionismo simbólico o las representaciones sociales— desplazarían el foco desde la vivencia singular hacia el acuerdo colectivo. El diseño narrativo mantiene el foco donde está el problema: en cómo se vive y se cuenta la inclusión.</w:t>
      </w:r>
    </w:p>
    <w:p>
      <w:pPr>
        <w:spacing w:after="120"/>
      </w:pPr>
      <w:r>
        <w:rPr>
          <w:rFonts w:ascii="Times New Roman" w:hAnsi="Times New Roman"/>
          <w:b w:val="0"/>
          <w:sz w:val="24"/>
        </w:rPr>
        <w:t>Reflexividad de la investigadora. La investigadora ocupa una posición insider: es orientadora escolar de una de las instituciones, lo que le otorga un acceso privilegiado a los relatos y le impone una vigilancia particular. Su reflexividad incide en la interpretación y se hace explícita en el diario de campo: no se trata de repetir lo que los autores dicen ni de registrar de manera neutral lo que ocurre, sino de interpretar críticamente desde una posición situada que se declara. La lente crítica de política (Lipsky, 1980; Fraser, 2008; Ball et al., 2012) queda como horizonte de interpretación de los relatos.</w:t>
      </w:r>
    </w:p>
    <w:p>
      <w:pPr>
        <w:spacing w:after="120"/>
      </w:pPr>
      <w:r>
        <w:rPr>
          <w:rFonts w:ascii="Times New Roman" w:hAnsi="Times New Roman"/>
          <w:b w:val="0"/>
          <w:sz w:val="24"/>
        </w:rPr>
        <w:t xml:space="preserve">Contextos y criterios de selección de los narradores. El estudio se desarrolla en dos instituciones de básica secundaria del departamento de Córdoba: una semirural —I. E. Alfonso Spath Spath, corregimiento de Martínez, Cereté— y una urbana en Montería </w:t>
      </w:r>
      <w:r>
        <w:rPr>
          <w:rFonts w:ascii="Times New Roman" w:hAnsi="Times New Roman"/>
          <w:b w:val="0"/>
          <w:color w:val="CC0000"/>
          <w:sz w:val="24"/>
        </w:rPr>
        <w:t>〔TU VOZ / por definir: nombre de la institución urbana〕</w:t>
      </w:r>
      <w:r>
        <w:rPr>
          <w:rFonts w:ascii="Times New Roman" w:hAnsi="Times New Roman"/>
          <w:b w:val="0"/>
          <w:sz w:val="24"/>
        </w:rPr>
        <w:t>. El contraste entre lo semirural y lo urbano no constituye un diseño comparativo de casos, sino un criterio de selección de los narradores y un eje de contraste en el análisis: se busca comprender cómo una misma política se vive de manera distinta según el territorio. Los docentes participantes se seleccionan por un criterio sustantivo y no de conveniencia: que efectivamente desarrollen prácticas de inclusión y que acompañen a estudiantes focalizados, diagnosticados y registrados en el SIMAT.</w:t>
      </w:r>
    </w:p>
    <w:p>
      <w:pPr>
        <w:spacing w:after="120"/>
      </w:pPr>
      <w:r>
        <w:rPr>
          <w:rFonts w:ascii="Times New Roman" w:hAnsi="Times New Roman"/>
          <w:b w:val="0"/>
          <w:sz w:val="24"/>
        </w:rPr>
        <w:t xml:space="preserve">Participantes y corpus narrativo. El corpus se construye a dos voces, con el estudiante como voz central y el docente como voz correlativa: relatos de vida de estudiantes de básica secundaria con dificultades o trastornos de aprendizaje, y relatos de vida de sus docentes. Se prevé un conjunto aproximado de seis relatos de estudiantes y seis de docentes, distribuidos entre los dos contextos, sin que la cifra opere como cuota: el criterio que gobierna el cierre del trabajo de campo es la saturación de la información, es decir, el punto en que los nuevos relatos dejan de aportar sentidos nuevos. Cuando aporte a la comprensión, se incorporan relatos de las familias. </w:t>
      </w:r>
      <w:r>
        <w:rPr>
          <w:rFonts w:ascii="Times New Roman" w:hAnsi="Times New Roman"/>
          <w:b w:val="0"/>
          <w:color w:val="CC0000"/>
          <w:sz w:val="24"/>
        </w:rPr>
        <w:t>〔TU VOZ: confirmá el número de relatos por contexto una vez definida la institución urbana.〕</w:t>
      </w:r>
    </w:p>
    <w:p>
      <w:pPr>
        <w:spacing w:after="120"/>
      </w:pPr>
      <w:r>
        <w:rPr>
          <w:rFonts w:ascii="Times New Roman" w:hAnsi="Times New Roman"/>
          <w:b w:val="0"/>
          <w:sz w:val="24"/>
        </w:rPr>
        <w:t>Técnicas de generación de la información. Tres, y solo tres: (a) entrevista a profundidad; (b) relatos de vida; y (c) revisión documental —Decreto 1421 de 2017 y su reglamentación, PIAR reales, PEI, manual de convivencia, ruta de atención, planes de desarrollo y corpus normativo socioemocional—. Se acompañan del diario de campo de la investigadora. No se emplean grupo focal, fotovoz ni cartografía social: el grupo focal desplazaría el relato individual hacia el acuerdo grupal, y las técnicas participativas visuales corresponden a diseños de intervención que este estudio no adopta. La validación comunicativa no se lista como técnica independiente: se integra en el proceso de entrevista y en la devolución de las interpretaciones a los participantes.</w:t>
      </w:r>
    </w:p>
    <w:p>
      <w:pPr>
        <w:spacing w:after="120"/>
      </w:pPr>
      <w:r>
        <w:rPr>
          <w:rFonts w:ascii="Times New Roman" w:hAnsi="Times New Roman"/>
          <w:b w:val="0"/>
          <w:sz w:val="24"/>
        </w:rPr>
        <w:t>Procedimiento de análisis e interpretación. El análisis no es una técnica de campo sino un procedimiento posterior, y se organiza en tres movimientos: (a) matrices de análisis, que permiten organizar, clasificar y poner en relación el material narrativo; (b) análisis temático, con categorías deductivas derivadas de los objetivos y categorías emergentes de los propios relatos; y (c) interpretación guiada por el círculo hermenéutico, que va del fragmento al relato completo y del relato al conjunto del corpus. El contraste entre el contexto semirural y el urbano opera en este nivel analítico. Se apoya en software cualitativo (Atlas.ti o NVivo) y en la triangulación por fuentes y por actores.</w:t>
      </w:r>
    </w:p>
    <w:p>
      <w:pPr>
        <w:spacing w:after="120"/>
      </w:pPr>
      <w:r>
        <w:rPr>
          <w:rFonts w:ascii="Times New Roman" w:hAnsi="Times New Roman"/>
          <w:b w:val="0"/>
          <w:sz w:val="24"/>
        </w:rPr>
        <w:t>Rigor. Credibilidad, transferibilidad, dependabilidad y confirmabilidad (Guba y Lincoln), con reflexividad sistemática en el diario de campo, revisión por un par crítico y devolución de las interpretaciones a los participantes para su validación.</w:t>
      </w:r>
    </w:p>
    <w:p>
      <w:pPr>
        <w:spacing w:after="120"/>
      </w:pPr>
      <w:r>
        <w:rPr>
          <w:rFonts w:ascii="Times New Roman" w:hAnsi="Times New Roman"/>
          <w:b w:val="0"/>
          <w:sz w:val="24"/>
        </w:rPr>
        <w:t>Consideraciones éticas. Población menor de edad: consentimiento informado de las familias y asentimiento de los estudiantes; confidencialidad y seudonimización de todos los relatos; aval del comité de ética y de las instituciones. Gestión explícita del doble rol orientadora-investigadora: no coerción, no uso de información obtenida en el ejercicio de la orientación, y separación clara entre el acompañamiento profesional y la generación de datos. El acceso insider se entiende como fortaleza y, a la vez, como responsabilidad ética.</w:t>
      </w:r>
    </w:p>
    <w:p>
      <w:pPr>
        <w:spacing w:after="120"/>
      </w:pPr>
      <w:r>
        <w:rPr>
          <w:rFonts w:ascii="Times New Roman" w:hAnsi="Times New Roman"/>
          <w:b w:val="0"/>
          <w:sz w:val="24"/>
        </w:rPr>
        <w:t>Viabilidad. El diseño es viable en el horizonte disponible —dos años y medio a tres, iniciando en el primer semestre del programa— porque no exige implementar, medir ni evaluar una propuesta: exige ubicar a los informantes clave, generar y transcribir un número acotado de relatos e interpretarlos con profundidad. La ruta culmina en lineamientos, no en una intervención inmediata.</w:t>
      </w:r>
    </w:p>
    <w:p>
      <w:pPr>
        <w:spacing w:before="200" w:after="80"/>
      </w:pPr>
      <w:r>
        <w:rPr>
          <w:rFonts w:ascii="Times New Roman" w:hAnsi="Times New Roman"/>
          <w:b/>
          <w:color w:val="2E5A87"/>
          <w:sz w:val="26"/>
        </w:rPr>
        <w:t>8. Cronograma</w:t>
      </w:r>
    </w:p>
    <w:p>
      <w:pPr>
        <w:spacing w:after="120"/>
      </w:pPr>
      <w:r>
        <w:rPr>
          <w:rFonts w:ascii="Times New Roman" w:hAnsi="Times New Roman"/>
          <w:b/>
          <w:sz w:val="24"/>
        </w:rPr>
        <w:t>8.1 Compromisos del semestre en curso</w:t>
      </w:r>
    </w:p>
    <w:p>
      <w:pPr>
        <w:spacing w:after="120"/>
      </w:pPr>
      <w:r>
        <w:rPr>
          <w:rFonts w:ascii="Times New Roman" w:hAnsi="Times New Roman"/>
          <w:b w:val="0"/>
          <w:sz w:val="24"/>
        </w:rPr>
        <w:t>• 30 de agosto de 2026 — Matriz de coherencia del tema (tema, pregunta, objetivo, palabras clave/categorías). Actividad calificable.</w:t>
      </w:r>
    </w:p>
    <w:p>
      <w:pPr>
        <w:spacing w:after="120"/>
      </w:pPr>
      <w:r>
        <w:rPr>
          <w:rFonts w:ascii="Times New Roman" w:hAnsi="Times New Roman"/>
          <w:b w:val="0"/>
          <w:sz w:val="24"/>
        </w:rPr>
        <w:t>• 30 de septiembre de 2026 — Matriz de antecedentes: mínimo veinticinco tesis doctorales del período 2020–2025, organizadas de lo global a lo local. Actividad calificable.</w:t>
      </w:r>
    </w:p>
    <w:p>
      <w:pPr>
        <w:spacing w:after="120"/>
      </w:pPr>
      <w:r>
        <w:rPr>
          <w:rFonts w:ascii="Times New Roman" w:hAnsi="Times New Roman"/>
          <w:b w:val="0"/>
          <w:sz w:val="24"/>
        </w:rPr>
        <w:t>• 25 de octubre de 2026 — Documento final del módulo: primer capítulo de la tesis, «Contextualización del problema e indagaciones preliminares». Actividad calificable.</w:t>
      </w:r>
    </w:p>
    <w:p>
      <w:pPr>
        <w:spacing w:after="120"/>
      </w:pPr>
      <w:r>
        <w:rPr>
          <w:rFonts w:ascii="Times New Roman" w:hAnsi="Times New Roman"/>
          <w:b w:val="0"/>
          <w:sz w:val="24"/>
        </w:rPr>
        <w:t>• Artículo de revisión derivado del estado del arte (12 a 18 páginas, APA 7), requisito para la presentación de la candidatura doctoral, junto con la participación como ponente en un evento académico y el registro en CvLAC y ORCID.</w:t>
      </w:r>
    </w:p>
    <w:p>
      <w:pPr>
        <w:spacing w:after="120"/>
      </w:pPr>
      <w:r>
        <w:rPr>
          <w:rFonts w:ascii="Times New Roman" w:hAnsi="Times New Roman"/>
          <w:b/>
          <w:sz w:val="24"/>
        </w:rPr>
        <w:t>8.2 Ruta por semestres (malla UTE)</w:t>
      </w:r>
    </w:p>
    <w:p>
      <w:pPr>
        <w:spacing w:after="120"/>
      </w:pPr>
      <w:r>
        <w:rPr>
          <w:rFonts w:ascii="Times New Roman" w:hAnsi="Times New Roman"/>
          <w:b w:val="0"/>
          <w:sz w:val="24"/>
        </w:rPr>
        <w:t>• Semestre I — Problema, pregunta, justificación, objetivos y paradigma.</w:t>
      </w:r>
    </w:p>
    <w:p>
      <w:pPr>
        <w:spacing w:after="120"/>
      </w:pPr>
      <w:r>
        <w:rPr>
          <w:rFonts w:ascii="Times New Roman" w:hAnsi="Times New Roman"/>
          <w:b w:val="0"/>
          <w:sz w:val="24"/>
        </w:rPr>
        <w:t>• Semestre II — Antecedentes / estado del arte y diseño metodológico.</w:t>
      </w:r>
    </w:p>
    <w:p>
      <w:pPr>
        <w:spacing w:after="120"/>
      </w:pPr>
      <w:r>
        <w:rPr>
          <w:rFonts w:ascii="Times New Roman" w:hAnsi="Times New Roman"/>
          <w:b w:val="0"/>
          <w:sz w:val="24"/>
        </w:rPr>
        <w:t>• Semestre III — Marco teórico y epistemológico.</w:t>
      </w:r>
    </w:p>
    <w:p>
      <w:pPr>
        <w:spacing w:after="120"/>
      </w:pPr>
      <w:r>
        <w:rPr>
          <w:rFonts w:ascii="Times New Roman" w:hAnsi="Times New Roman"/>
          <w:b w:val="0"/>
          <w:sz w:val="24"/>
        </w:rPr>
        <w:t>• Semestre IV — Metodología detallada, categorías de análisis y candidatura doctoral.</w:t>
      </w:r>
    </w:p>
    <w:p>
      <w:pPr>
        <w:spacing w:after="120"/>
      </w:pPr>
      <w:r>
        <w:rPr>
          <w:rFonts w:ascii="Times New Roman" w:hAnsi="Times New Roman"/>
          <w:b w:val="0"/>
          <w:sz w:val="24"/>
        </w:rPr>
        <w:t>• Semestre V — Trabajo de campo: entrevistas a profundidad y relatos de vida en los dos contextos; pasantía doctoral.</w:t>
      </w:r>
    </w:p>
    <w:p>
      <w:pPr>
        <w:spacing w:after="120"/>
      </w:pPr>
      <w:r>
        <w:rPr>
          <w:rFonts w:ascii="Times New Roman" w:hAnsi="Times New Roman"/>
          <w:b w:val="0"/>
          <w:sz w:val="24"/>
        </w:rPr>
        <w:t>• Semestre VI — Análisis final, escritura de resultados, conclusiones y defensa.</w:t>
      </w:r>
    </w:p>
    <w:p>
      <w:pPr>
        <w:spacing w:after="120"/>
      </w:pPr>
      <w:r>
        <w:rPr>
          <w:rFonts w:ascii="Times New Roman" w:hAnsi="Times New Roman"/>
          <w:b w:val="0"/>
          <w:sz w:val="24"/>
        </w:rPr>
        <w:t>Requisitos de titulación que conviene anticipar desde ahora: certificación de lengua extranjera en nivel B1 (lectura y escritura), publicación de un artículo en revista indexada, ponencia en evento científico y pasantía doctoral.</w:t>
      </w:r>
    </w:p>
    <w:p>
      <w:pPr>
        <w:spacing w:after="120"/>
      </w:pPr>
      <w:r>
        <w:rPr>
          <w:rFonts w:ascii="Times New Roman" w:hAnsi="Times New Roman"/>
          <w:b w:val="0"/>
          <w:color w:val="CC0000"/>
          <w:sz w:val="24"/>
        </w:rPr>
        <w:t>〔TU VOZ: ajustá tiempos a tu realidad laboral.〕</w:t>
      </w:r>
    </w:p>
    <w:p>
      <w:pPr>
        <w:spacing w:before="200" w:after="80"/>
      </w:pPr>
      <w:r>
        <w:rPr>
          <w:rFonts w:ascii="Times New Roman" w:hAnsi="Times New Roman"/>
          <w:b/>
          <w:color w:val="2E5A87"/>
          <w:sz w:val="26"/>
        </w:rPr>
        <w:t>Referencias</w:t>
      </w:r>
    </w:p>
    <w:p>
      <w:pPr>
        <w:spacing w:after="120"/>
      </w:pPr>
      <w:r>
        <w:rPr>
          <w:rFonts w:ascii="Times New Roman" w:hAnsi="Times New Roman"/>
          <w:b w:val="0"/>
          <w:sz w:val="24"/>
        </w:rPr>
        <w:t xml:space="preserve">Apple, M. W. (2012). Education and power (2.ª ed.). Routledge. </w:t>
      </w:r>
      <w:r>
        <w:rPr>
          <w:rFonts w:ascii="Times New Roman" w:hAnsi="Times New Roman"/>
          <w:b w:val="0"/>
          <w:color w:val="CC0000"/>
          <w:sz w:val="24"/>
        </w:rPr>
        <w:t>[VERIFICAR ed./año]</w:t>
      </w:r>
    </w:p>
    <w:p>
      <w:pPr>
        <w:spacing w:after="120"/>
      </w:pPr>
      <w:r>
        <w:rPr>
          <w:rFonts w:ascii="Times New Roman" w:hAnsi="Times New Roman"/>
          <w:b w:val="0"/>
          <w:sz w:val="24"/>
        </w:rPr>
        <w:t>Arslan, G. (2018). Understanding the association between school belonging and emotional health in adolescents. International Journal of Educational Psychology. https://doi.org/10.17583/ijep.2018.3117</w:t>
      </w:r>
    </w:p>
    <w:p>
      <w:pPr>
        <w:spacing w:after="120"/>
      </w:pPr>
      <w:r>
        <w:rPr>
          <w:rFonts w:ascii="Times New Roman" w:hAnsi="Times New Roman"/>
          <w:b w:val="0"/>
          <w:sz w:val="24"/>
        </w:rPr>
        <w:t>Ball, S. J., Maguire, M., y Braun, A. (2012). How schools do policy: Policy enactments in secondary schools. Routledge.</w:t>
      </w:r>
    </w:p>
    <w:p>
      <w:pPr>
        <w:spacing w:after="120"/>
      </w:pPr>
      <w:r>
        <w:rPr>
          <w:rFonts w:ascii="Times New Roman" w:hAnsi="Times New Roman"/>
          <w:b w:val="0"/>
          <w:sz w:val="24"/>
        </w:rPr>
        <w:t xml:space="preserve">Bolívar, A., Domingo, J., y Fernández, M. (2001). La investigación biográfico-narrativa en educación: Enfoque y metodología. La Muralla. </w:t>
      </w:r>
      <w:r>
        <w:rPr>
          <w:rFonts w:ascii="Times New Roman" w:hAnsi="Times New Roman"/>
          <w:b w:val="0"/>
          <w:color w:val="CC0000"/>
          <w:sz w:val="24"/>
        </w:rPr>
        <w:t>[VERIFICAR edición/año]</w:t>
      </w:r>
    </w:p>
    <w:p>
      <w:pPr>
        <w:spacing w:after="120"/>
      </w:pPr>
      <w:r>
        <w:rPr>
          <w:rFonts w:ascii="Times New Roman" w:hAnsi="Times New Roman"/>
          <w:b w:val="0"/>
          <w:sz w:val="24"/>
        </w:rPr>
        <w:t>Booth, T., y Ainscow, M. (2002). Index for inclusion: Developing learning and participation in schools (2.ª ed.). Centre for Studies on Inclusive Education.</w:t>
      </w:r>
    </w:p>
    <w:p>
      <w:pPr>
        <w:spacing w:after="120"/>
      </w:pPr>
      <w:r>
        <w:rPr>
          <w:rFonts w:ascii="Times New Roman" w:hAnsi="Times New Roman"/>
          <w:b w:val="0"/>
          <w:sz w:val="24"/>
        </w:rPr>
        <w:t xml:space="preserve">Comité sobre los Derechos de las Personas con Discapacidad. (2016). Observación General N.º 4: Derecho a la educación inclusiva (CRPD/C/GC/4). Naciones Unidas. </w:t>
      </w:r>
      <w:r>
        <w:rPr>
          <w:rFonts w:ascii="Times New Roman" w:hAnsi="Times New Roman"/>
          <w:b w:val="0"/>
          <w:color w:val="CC0000"/>
          <w:sz w:val="24"/>
        </w:rPr>
        <w:t>[VERIFICAR código]</w:t>
      </w:r>
    </w:p>
    <w:p>
      <w:pPr>
        <w:spacing w:after="120"/>
      </w:pPr>
      <w:r>
        <w:rPr>
          <w:rFonts w:ascii="Times New Roman" w:hAnsi="Times New Roman"/>
          <w:b w:val="0"/>
          <w:sz w:val="24"/>
        </w:rPr>
        <w:t xml:space="preserve">Connelly, F. M., y Clandinin, D. J. (1995). Relatos de experiencia e investigación narrativa. En J. Larrosa, R. Arnaus, V. Ferrer, N. Pérez de Lara, F. M. Connelly, D. J. Clandinin y M. Greene, Déjame que te cuente: Ensayos sobre narrativa y educación (pp. 11–59). Laertes. </w:t>
      </w:r>
      <w:r>
        <w:rPr>
          <w:rFonts w:ascii="Times New Roman" w:hAnsi="Times New Roman"/>
          <w:b w:val="0"/>
          <w:color w:val="CC0000"/>
          <w:sz w:val="24"/>
        </w:rPr>
        <w:t>[VERIFICAR páginas exactas del capítulo]</w:t>
      </w:r>
    </w:p>
    <w:p>
      <w:pPr>
        <w:spacing w:after="120"/>
      </w:pPr>
      <w:r>
        <w:rPr>
          <w:rFonts w:ascii="Times New Roman" w:hAnsi="Times New Roman"/>
          <w:b w:val="0"/>
          <w:sz w:val="24"/>
        </w:rPr>
        <w:t>Creswell, J. W. (2014). Research design: Qualitative, quantitative, and mixed methods approaches (4.ª ed.). SAGE.</w:t>
      </w:r>
    </w:p>
    <w:p>
      <w:pPr>
        <w:spacing w:after="120"/>
      </w:pPr>
      <w:r>
        <w:rPr>
          <w:rFonts w:ascii="Times New Roman" w:hAnsi="Times New Roman"/>
          <w:b w:val="0"/>
          <w:sz w:val="24"/>
        </w:rPr>
        <w:t xml:space="preserve">Dilthey, W. (1978). Introducción a las ciencias del espíritu. Alianza. </w:t>
      </w:r>
      <w:r>
        <w:rPr>
          <w:rFonts w:ascii="Times New Roman" w:hAnsi="Times New Roman"/>
          <w:b w:val="0"/>
          <w:color w:val="CC0000"/>
          <w:sz w:val="24"/>
        </w:rPr>
        <w:t>[VERIFICAR edición/año]</w:t>
      </w:r>
    </w:p>
    <w:p>
      <w:pPr>
        <w:spacing w:after="120"/>
      </w:pPr>
      <w:r>
        <w:rPr>
          <w:rFonts w:ascii="Times New Roman" w:hAnsi="Times New Roman"/>
          <w:b w:val="0"/>
          <w:sz w:val="24"/>
        </w:rPr>
        <w:t>Echeita Sarrionandía, G. (2013). Inclusión y exclusión educativa. De nuevo, «voz y quebranto». REICE. Revista Iberoamericana sobre Calidad, Eficacia y Cambio en Educación, 11(2), 99–118. https://doi.org/10.15366/reice2013.11.2.005</w:t>
      </w:r>
    </w:p>
    <w:p>
      <w:pPr>
        <w:spacing w:after="120"/>
      </w:pPr>
      <w:r>
        <w:rPr>
          <w:rFonts w:ascii="Times New Roman" w:hAnsi="Times New Roman"/>
          <w:b w:val="0"/>
          <w:sz w:val="24"/>
        </w:rPr>
        <w:t>Fraser, N. (2008). Scales of justice: Reimagining political space in a globalizing world. Polity Press. (Ed. en español: Escalas de justicia, Herder, 2008)</w:t>
      </w:r>
    </w:p>
    <w:p>
      <w:pPr>
        <w:spacing w:after="120"/>
      </w:pPr>
      <w:r>
        <w:rPr>
          <w:rFonts w:ascii="Times New Roman" w:hAnsi="Times New Roman"/>
          <w:b w:val="0"/>
          <w:sz w:val="24"/>
        </w:rPr>
        <w:t>Fraser, N., y Honneth, A. (2003). Redistribution or recognition? A political-philosophical exchange. Verso.</w:t>
      </w:r>
    </w:p>
    <w:p>
      <w:pPr>
        <w:spacing w:after="120"/>
      </w:pPr>
      <w:r>
        <w:rPr>
          <w:rFonts w:ascii="Times New Roman" w:hAnsi="Times New Roman"/>
          <w:b w:val="0"/>
          <w:sz w:val="24"/>
        </w:rPr>
        <w:t>Freire, P. (1970). Pedagogía del oprimido. Siglo XXI.</w:t>
      </w:r>
    </w:p>
    <w:p>
      <w:pPr>
        <w:spacing w:after="120"/>
      </w:pPr>
      <w:r>
        <w:rPr>
          <w:rFonts w:ascii="Times New Roman" w:hAnsi="Times New Roman"/>
          <w:b w:val="0"/>
          <w:sz w:val="24"/>
        </w:rPr>
        <w:t xml:space="preserve">Fullan, M. (2007). The new meaning of educational change (4.ª ed.). Teachers College Press. </w:t>
      </w:r>
      <w:r>
        <w:rPr>
          <w:rFonts w:ascii="Times New Roman" w:hAnsi="Times New Roman"/>
          <w:b w:val="0"/>
          <w:color w:val="CC0000"/>
          <w:sz w:val="24"/>
        </w:rPr>
        <w:t>[VERIFICAR ed.]</w:t>
      </w:r>
    </w:p>
    <w:p>
      <w:pPr>
        <w:spacing w:after="120"/>
      </w:pPr>
      <w:r>
        <w:rPr>
          <w:rFonts w:ascii="Times New Roman" w:hAnsi="Times New Roman"/>
          <w:b w:val="0"/>
          <w:sz w:val="24"/>
        </w:rPr>
        <w:t>Gadamer, H.-G. (1993). Verdad y método I (A. Agud Aparicio y R. de Agapito, Trads.). Sígueme. (Obra original publicada en 1960).</w:t>
      </w:r>
    </w:p>
    <w:p>
      <w:pPr>
        <w:spacing w:after="120"/>
      </w:pPr>
      <w:r>
        <w:rPr>
          <w:rFonts w:ascii="Times New Roman" w:hAnsi="Times New Roman"/>
          <w:b w:val="0"/>
          <w:sz w:val="24"/>
        </w:rPr>
        <w:t>Honneth, A. (1997). La lucha por el reconocimiento: Por una gramática moral de los conflictos sociales (M. Ballestero, Trad.). Crítica. (Obra original publicada en 1992).</w:t>
      </w:r>
    </w:p>
    <w:p>
      <w:pPr>
        <w:spacing w:after="120"/>
      </w:pPr>
      <w:r>
        <w:rPr>
          <w:rFonts w:ascii="Times New Roman" w:hAnsi="Times New Roman"/>
          <w:b w:val="0"/>
          <w:sz w:val="24"/>
        </w:rPr>
        <w:t>Instituto Colombiano para la Evaluación de la Educación. (2025). Resultados únicos Saber 11 [Conjunto de datos]. Datos Abiertos Colombia. https://www.datos.gov.co/resource/kgxf-xxbe</w:t>
      </w:r>
    </w:p>
    <w:p>
      <w:pPr>
        <w:spacing w:after="120"/>
      </w:pPr>
      <w:r>
        <w:rPr>
          <w:rFonts w:ascii="Times New Roman" w:hAnsi="Times New Roman"/>
          <w:b w:val="0"/>
          <w:sz w:val="24"/>
        </w:rPr>
        <w:t>Korpershoek, H., Canrinus, E. T., Fokkens-Bruinsma, M., y de Boer, H. (2019). The relationships between school belonging and students’ motivational, social-emotional, behavioural, and academic outcomes in secondary education: A meta-analytic review. Research Papers in Education, 35(6), 641–680. https://doi.org/10.1080/02671522.2019.1615116</w:t>
      </w:r>
    </w:p>
    <w:p>
      <w:pPr>
        <w:spacing w:after="120"/>
      </w:pPr>
      <w:r>
        <w:rPr>
          <w:rFonts w:ascii="Times New Roman" w:hAnsi="Times New Roman"/>
          <w:b w:val="0"/>
          <w:sz w:val="24"/>
        </w:rPr>
        <w:t>Laboratorio de Economía de la Educación. (2024). Calidad educativa en zonas rurales de Colombia: un camino por recorrer (Informe de análisis estadístico N.º 98). Pontificia Universidad Javeriana. https://lee.javeriana.edu.co/publicaciones-y-documentos</w:t>
      </w:r>
    </w:p>
    <w:p>
      <w:pPr>
        <w:spacing w:after="120"/>
      </w:pPr>
      <w:r>
        <w:rPr>
          <w:rFonts w:ascii="Times New Roman" w:hAnsi="Times New Roman"/>
          <w:b w:val="0"/>
          <w:sz w:val="24"/>
        </w:rPr>
        <w:t>Larrosa, J., Arnaus, R., Ferrer, V., Pérez de Lara, N., Connelly, F. M., Clandinin, D. J., y Greene, M. (1995). Déjame que te cuente: Ensayos sobre narrativa y educación. Laertes.</w:t>
      </w:r>
    </w:p>
    <w:p>
      <w:pPr>
        <w:spacing w:after="120"/>
      </w:pPr>
      <w:r>
        <w:rPr>
          <w:rFonts w:ascii="Times New Roman" w:hAnsi="Times New Roman"/>
          <w:b w:val="0"/>
          <w:sz w:val="24"/>
        </w:rPr>
        <w:t xml:space="preserve">Lewis, O. (1961). Antropología de la pobreza: Cinco familias. Fondo de Cultura Económica. </w:t>
      </w:r>
      <w:r>
        <w:rPr>
          <w:rFonts w:ascii="Times New Roman" w:hAnsi="Times New Roman"/>
          <w:b w:val="0"/>
          <w:color w:val="CC0000"/>
          <w:sz w:val="24"/>
        </w:rPr>
        <w:t>[VERIFICAR edición/año en español]</w:t>
      </w:r>
    </w:p>
    <w:p>
      <w:pPr>
        <w:spacing w:after="120"/>
      </w:pPr>
      <w:r>
        <w:rPr>
          <w:rFonts w:ascii="Times New Roman" w:hAnsi="Times New Roman"/>
          <w:b w:val="0"/>
          <w:sz w:val="24"/>
        </w:rPr>
        <w:t>Lipsky, M. (1980). Street-level bureaucracy: Dilemmas of the individual in public services. Russell Sage Foundation.</w:t>
      </w:r>
    </w:p>
    <w:p>
      <w:pPr>
        <w:spacing w:after="120"/>
      </w:pPr>
      <w:r>
        <w:rPr>
          <w:rFonts w:ascii="Times New Roman" w:hAnsi="Times New Roman"/>
          <w:b w:val="0"/>
          <w:sz w:val="24"/>
        </w:rPr>
        <w:t>Llorent, V. J., Núñez-Flores, M., y Kaakinen, M. (2024). Inclusive education by teachers to the development of the social and emotional competencies of their students in secondary education. Learning and Instruction, 91, 101892. https://doi.org/10.1016/j.learninstruc.2024.101892</w:t>
      </w:r>
    </w:p>
    <w:p>
      <w:pPr>
        <w:spacing w:after="120"/>
      </w:pPr>
      <w:r>
        <w:rPr>
          <w:rFonts w:ascii="Times New Roman" w:hAnsi="Times New Roman"/>
          <w:b w:val="0"/>
          <w:sz w:val="24"/>
        </w:rPr>
        <w:t>Ministerio de Educación Nacional. (2025). Estadísticas en educación en preescolar, básica y media por municipio [Conjunto de datos]. Datos Abiertos Colombia. https://www.datos.gov.co/resource/nudc-7mev</w:t>
      </w:r>
    </w:p>
    <w:p>
      <w:pPr>
        <w:spacing w:after="120"/>
      </w:pPr>
      <w:r>
        <w:rPr>
          <w:rFonts w:ascii="Times New Roman" w:hAnsi="Times New Roman"/>
          <w:b w:val="0"/>
          <w:sz w:val="24"/>
        </w:rPr>
        <w:t>Ricoeur, P. (2006). Teoría de la interpretación: Discurso y excedente de sentido (5.ª ed.). Siglo XXI. (Obra original publicada en 1976).</w:t>
      </w:r>
    </w:p>
    <w:p>
      <w:pPr>
        <w:spacing w:after="120"/>
      </w:pPr>
      <w:r>
        <w:rPr>
          <w:rFonts w:ascii="Times New Roman" w:hAnsi="Times New Roman"/>
          <w:b w:val="0"/>
          <w:sz w:val="24"/>
        </w:rPr>
        <w:t>Rojas Aguilar, N. Y. (2025). Las competencias socioemocionales desde la inclusión en los estudiantes de grado octavo y noveno de educación secundaria [Tesis doctoral, Universidad Pedagógica Experimental Libertador]. Dialnet. https://dialnet.unirioja.es/servlet/tesis?codigo=398971</w:t>
      </w:r>
    </w:p>
    <w:p>
      <w:pPr>
        <w:spacing w:after="120"/>
      </w:pPr>
      <w:r>
        <w:rPr>
          <w:rFonts w:ascii="Times New Roman" w:hAnsi="Times New Roman"/>
          <w:b w:val="0"/>
          <w:sz w:val="24"/>
        </w:rPr>
        <w:t>Roorda, D. L., Jak, S., Zee, M., Oort, F. J., y Koomen, H. M. Y. (2017). Affective teacher–student relationships and students’ engagement and achievement: A meta-analytic update and test of the mediating role of engagement. School Psychology Review, 46(3), 239–261. https://doi.org/10.17105/spr-2017-0035.v46-3</w:t>
      </w:r>
    </w:p>
    <w:p>
      <w:pPr>
        <w:spacing w:after="120"/>
      </w:pPr>
      <w:r>
        <w:rPr>
          <w:rFonts w:ascii="Times New Roman" w:hAnsi="Times New Roman"/>
          <w:b w:val="0"/>
          <w:sz w:val="24"/>
        </w:rPr>
        <w:t>Shaeffer, S. (2019). Inclusive education: a prerequisite for equity and social justice. Asia Pacific Education Review. https://doi.org/10.1007/s12564-019-09598-w</w:t>
      </w:r>
    </w:p>
    <w:p>
      <w:pPr>
        <w:spacing w:after="120"/>
      </w:pPr>
      <w:r>
        <w:rPr>
          <w:rFonts w:ascii="Times New Roman" w:hAnsi="Times New Roman"/>
          <w:b w:val="0"/>
          <w:sz w:val="24"/>
        </w:rPr>
        <w:t>Zabogal, J. S. (2026, 1 de julio). Imaginarios, apoyos y caminos pedagógicos para la inclusión de estudiantes con discapacidad visual [Webinar]. Secretaría de Educación de Córdoba — Instituto Nacional para Ciegos. https://www.youtube.com/live/wybvp8ySrkY</w:t>
      </w:r>
    </w:p>
    <w:p>
      <w:pPr>
        <w:spacing w:after="120"/>
      </w:pPr>
      <w:r>
        <w:rPr>
          <w:rFonts w:ascii="Times New Roman" w:hAnsi="Times New Roman"/>
          <w:b w:val="0"/>
          <w:sz w:val="24"/>
        </w:rPr>
        <w:t xml:space="preserve">Marco normativo (Colombia): Constitución Política (1991, arts. 13, 44, 67); Ley 115 de 1994; Ley 715 de 2001; Ley 1098 de 2006; Ley 1616 de 2013; Ley Estatutaria 1618 de 2013; Ley 1620 de 2013 y Decreto 1965 de 2013; Ley 1732 de 2014 y Decreto 1038 de 2015; Decreto 1421 de 2017 (compilado en el Decreto 1075 de 2015). </w:t>
      </w:r>
      <w:r>
        <w:rPr>
          <w:rFonts w:ascii="Times New Roman" w:hAnsi="Times New Roman"/>
          <w:b w:val="0"/>
          <w:color w:val="CC0000"/>
          <w:sz w:val="24"/>
        </w:rPr>
        <w:t>[VERIFICAR números/fechas en fuente oficial]</w:t>
      </w:r>
    </w:p>
    <w:p>
      <w:pPr>
        <w:spacing w:after="120"/>
      </w:pPr>
      <w:r>
        <w:rPr>
          <w:rFonts w:ascii="Times New Roman" w:hAnsi="Times New Roman"/>
          <w:b w:val="0"/>
          <w:sz w:val="24"/>
        </w:rPr>
        <w:t>Marco normativo socioemocional reciente (Colombia) —verificado en fuente oficial (Función Pública / SUIN-Juriscol)—: Ley 2383 de 2024 (19 de julio); Ley 2460 de 2025 (25 de junio); Ley 2491 de 2025 (23 de julio); Ley 2503 de 2025 (28 de julio).</w:t>
      </w:r>
    </w:p>
    <w:p>
      <w:pPr>
        <w:spacing w:after="120"/>
      </w:pPr>
      <w:r>
        <w:rPr>
          <w:rFonts w:ascii="Times New Roman" w:hAnsi="Times New Roman"/>
          <w:b w:val="0"/>
          <w:sz w:val="24"/>
        </w:rPr>
        <w:t>Marco normativo (internacional): CDN (ONU, 1989); Declaración de Salamanca (UNESCO, 1994); CDPD (ONU, 2006, art. 24); ODS 4, meta 4.5 (ONU, 2015).</w:t>
      </w:r>
    </w:p>
    <w:p>
      <w:pPr>
        <w:spacing w:before="200" w:after="80"/>
      </w:pPr>
      <w:r>
        <w:rPr>
          <w:rFonts w:ascii="Times New Roman" w:hAnsi="Times New Roman"/>
          <w:b/>
          <w:color w:val="2E5A87"/>
          <w:sz w:val="26"/>
        </w:rPr>
        <w:t>📌 SUSTENTACIÓN (solo para ti — borrar antes de entregar)</w:t>
      </w:r>
    </w:p>
    <w:p>
      <w:pPr>
        <w:spacing w:after="120"/>
      </w:pPr>
      <w:r>
        <w:rPr>
          <w:rFonts w:ascii="Times New Roman" w:hAnsi="Times New Roman"/>
          <w:b w:val="0"/>
          <w:sz w:val="24"/>
        </w:rPr>
        <w:t>Por qué el título cambió. Se incorporó la palabra «relatos». El título anterior anunciaba una comprensión hermenéutico-crítica de las vivencias, pero no decía por qué vía se accedía a ellas. Ahora el título anuncia el diseño: si el jurado lee «relatos», ya sabe que va a encontrar investigación narrativa y no un estudio de casos. Se conservan el objeto (la relación inclusión-socioemocionalidad), los dos sujetos, la lente crítica y el territorio.</w:t>
      </w:r>
    </w:p>
    <w:p>
      <w:pPr>
        <w:spacing w:after="120"/>
      </w:pPr>
      <w:r>
        <w:rPr>
          <w:rFonts w:ascii="Times New Roman" w:hAnsi="Times New Roman"/>
          <w:b w:val="0"/>
          <w:sz w:val="24"/>
        </w:rPr>
        <w:t>Por qué la pregunta se acortó. La versión anterior decía «cómo se configuran y se viven las relaciones entre las prácticas… y las vivencias socioemocionales». Tu asesora detectó ahí una redundancia real: si se pregunta por las vivencias, «se viven las vivencias» dice dos veces lo mismo. La pregunta quedó en «cómo se relacionan», que es exactamente lo que buscas y además nombra el vínculo entre tus dos categorías.</w:t>
      </w:r>
    </w:p>
    <w:p>
      <w:pPr>
        <w:spacing w:after="120"/>
      </w:pPr>
      <w:r>
        <w:rPr>
          <w:rFonts w:ascii="Times New Roman" w:hAnsi="Times New Roman"/>
          <w:b w:val="0"/>
          <w:sz w:val="24"/>
        </w:rPr>
        <w:t>Por qué desapareció un objetivo específico y apareció otro. El tercer objetivo anterior («comprender la experiencia socioemocional de los docentes») tenía el mismo verbo y el mismo nivel de complejidad que el objetivo general: un específico no puede estar al nivel del general, porque entonces no lo desagrega. En su lugar entra el objetivo que faltaba y que tu asesora señaló: el que establece la relación entre las prácticas y las vivencias. La experiencia de los docentes no se pierde: está en el objetivo 1 (sus prácticas narradas) y en el corpus a dos voces.</w:t>
      </w:r>
    </w:p>
    <w:p>
      <w:pPr>
        <w:spacing w:after="120"/>
      </w:pPr>
      <w:r>
        <w:rPr>
          <w:rFonts w:ascii="Times New Roman" w:hAnsi="Times New Roman"/>
          <w:b w:val="0"/>
          <w:sz w:val="24"/>
        </w:rPr>
        <w:t>Por qué se conservaron los lineamientos. En la conversación planteaste retirarlos porque cambió el tipo de investigación. Conviene no hacerlo, por tres razones. Primero, tu asesora los ratificó al revisar la viabilidad («la ruta culmina en lineamientos, no en una intervención inmediata»). Segundo, derivar lineamientos no es intervenir: se derivan de la interpretación, no de una implementación. Tercero, tu programa es de Políticas Contemporáneas y tu línea institucional es de análisis de políticas: una tesis que interpreta relatos y no deriva nada para la política se queda sin el componente que la ancla a su propia línea.</w:t>
      </w:r>
    </w:p>
    <w:p>
      <w:pPr>
        <w:spacing w:after="120"/>
      </w:pPr>
      <w:r>
        <w:rPr>
          <w:rFonts w:ascii="Times New Roman" w:hAnsi="Times New Roman"/>
          <w:b w:val="0"/>
          <w:sz w:val="24"/>
        </w:rPr>
        <w:t>Por qué el eje semirural/urbano no se disolvió. En la asesoría aparecieron dos indicaciones sucesivas: primero, no quedarse en una sola institución para que el trabajo no se lea como proyecto institucional; después, que con el diseño narrativo lo decisivo son las maestras que efectivamente trabajen inclusión, estén donde estén. Se resolvió conservando el eje territorial pero renombrándolo: ya no es un «diseño multicaso comparativo» —que era terminología de estudio de casos— sino un criterio de selección de narradores y un eje de contraste en el análisis. Así se cumple la indicación sin perder lo que te da envergadura doctoral y sin perder el vínculo con tu énfasis en políticas.</w:t>
      </w:r>
    </w:p>
    <w:p>
      <w:pPr>
        <w:spacing w:after="120"/>
      </w:pPr>
      <w:r>
        <w:rPr>
          <w:rFonts w:ascii="Times New Roman" w:hAnsi="Times New Roman"/>
          <w:b w:val="0"/>
          <w:sz w:val="24"/>
        </w:rPr>
        <w:t>Por qué el corpus va a dos voces y con el estudiante al centro. Tu vacío investigativo está en las vivencias de los estudiantes con dificultades de aprendizaje: es ahí donde la búsqueda no arrojó antecedentes. Si el corpus se construyera solo con relatos de maestras, el trabajo se desplazaría hacia un género que ya existe —los relatos de vida de maestros— y perderías la originalidad que hoy tienes. Por eso el documento fija el número por ambas voces y deja explícito que el estudiante es la voz central.</w:t>
      </w:r>
    </w:p>
    <w:p>
      <w:pPr>
        <w:spacing w:after="120"/>
      </w:pPr>
      <w:r>
        <w:rPr>
          <w:rFonts w:ascii="Times New Roman" w:hAnsi="Times New Roman"/>
          <w:b w:val="0"/>
          <w:sz w:val="24"/>
        </w:rPr>
        <w:t>Qué se eliminó y por qué. La comparación con el positivismo en el apartado del paradigma (no se define algo diciendo lo que no es); la fórmula «no descriptiva»; el interaccionismo simbólico (que además es el objeto de otra investigación y no debe aparecer aquí); y las técnicas de grupo focal, fotovoz y cartografía social, que eran arrastre del diseño de investigación-acción anterior. La matriz dejó de figurar como técnica y pasó a donde corresponde: el procedimiento de análisis.</w:t>
      </w:r>
    </w:p>
    <w:p>
      <w:pPr>
        <w:spacing w:after="120"/>
      </w:pPr>
      <w:r>
        <w:rPr>
          <w:rFonts w:ascii="Times New Roman" w:hAnsi="Times New Roman"/>
          <w:b w:val="0"/>
          <w:sz w:val="24"/>
        </w:rPr>
        <w:t>Una decisión que conviene que revises con tu asesora. Ella pidió quitar la comparación con el positivismo y el «no descriptiva», con el argumento de que algo no se define diciendo lo que no es. Estoy de acuerdo y por eso se eliminaron. Pero en el apartado del diseño se conservó un párrafo breve que explica por qué investigación narrativa y no estudio de casos ni interaccionismo simbólico. Lo mantuve a propósito, por dos razones: no compara con otro paradigma sino con diseños del mismo campo comprensivo, que es lo que un jurado suele preguntar en la defensa; y te sirve como respuesta preparada. Si tu asesora prefiere retirarlo también, se borra ese solo párrafo y el resto del documento no se toca.</w:t>
      </w:r>
    </w:p>
    <w:p>
      <w:pPr>
        <w:spacing w:after="120"/>
      </w:pPr>
      <w:r>
        <w:rPr>
          <w:rFonts w:ascii="Times New Roman" w:hAnsi="Times New Roman"/>
          <w:b w:val="0"/>
          <w:sz w:val="24"/>
        </w:rPr>
        <w:t>La palabra «incider». En la versión anterior aparecía escrita así y generó confusión en la asesoría. Son dos cosas distintas y ambas van en el documento: tú eres insider —investigas desde adentro de la institución— y lo que hace tu reflexividad es incidir en la interpretación. Quedó redactado de esa manera en el apartado de reflexividad.</w:t>
      </w:r>
    </w:p>
    <w:p>
      <w:pPr>
        <w:spacing w:after="120"/>
      </w:pPr>
      <w:r>
        <w:rPr>
          <w:rFonts w:ascii="Times New Roman" w:hAnsi="Times New Roman"/>
          <w:b w:val="0"/>
          <w:sz w:val="24"/>
        </w:rPr>
        <w:t>Los orientadores escolares. Figuraban como grupo de participantes en la ruta metodológica, pero no aparecían en el título, ni en la pregunta, ni en los objetivos: eso es una incoherencia que un jurado detecta de inmediato. Se resolvió retirándolos como grupo aparte. Tu voz de orientadora entra por otra puerta, que es más fuerte: la reflexividad de la investigadora insider.</w:t>
      </w:r>
    </w:p>
    <w:p>
      <w:pPr>
        <w:spacing w:after="120"/>
      </w:pPr>
      <w:r>
        <w:rPr>
          <w:rFonts w:ascii="Times New Roman" w:hAnsi="Times New Roman"/>
          <w:b w:val="0"/>
          <w:sz w:val="24"/>
        </w:rPr>
        <w:t>Corrección importante en los datos del ICFES. La versión anterior afirmaba que la institución obtuvo en 2022 el promedio más alto entre todos los oficiales del municipio y que había sostenido el primero o el segundo lugar en cuatro de cinco aplicaciones. Se cotejó contra los microdatos del ICFES —un registro por estudiante— y el dato no se sostiene: en 2022 la institución ocupó el cuarto lugar entre los catorce oficiales, superada por décimas por tres establecimientos rurales, aunque por encima de todos los oficiales urbanos. Los promedios y el número de evaluados sí son exactos. El documento quedó con la serie correcta (primera en 2015 y 2017, segunda en 2019, cuarta en 2022) y, sobre todo, con el argumento que sí es sólido y más difícil de refutar: la institución sostuvo su nivel mientras los evaluados pasaban de 65 a 166. Un dato verificable mal citado en la fundamentación del contexto es de las cosas que más daño hacen en una sustentación.</w:t>
      </w:r>
    </w:p>
    <w:p>
      <w:pPr>
        <w:spacing w:after="120"/>
      </w:pPr>
      <w:r>
        <w:rPr>
          <w:rFonts w:ascii="Times New Roman" w:hAnsi="Times New Roman"/>
          <w:b w:val="0"/>
          <w:sz w:val="24"/>
        </w:rPr>
        <w:t>Los autores de la metodología. Larrosa es el clásico en español y es el que te indicó tu asesora, pero conviene saber que el libro que te envió incluye capítulos de Connelly y Clandinin, que son los referentes internacionales de la investigación narrativa en educación: citarlos desde ese mismo volumen te da la fuente canónica sin buscar en otro lado. Se agregó también a Bolívar, que es el referente en lengua española. Ninguno de los tres cuenta como antecedente —son de fecha anterior al rango 2020–2025—: van como fundamentación metodológica, tal como te lo indicó tu asesora.</w:t>
      </w:r>
    </w:p>
    <w:p>
      <w:pPr>
        <w:spacing w:after="120"/>
      </w:pPr>
      <w:r>
        <w:rPr>
          <w:rFonts w:ascii="Times New Roman" w:hAnsi="Times New Roman"/>
          <w:b w:val="0"/>
          <w:sz w:val="24"/>
        </w:rPr>
        <w:t xml:space="preserve">Lo que queda pendiente y depende de ti. Definir la institución urbana de Montería; confirmar el número de relatos por contexto; reescribir las escenas en primera persona; leer los planes de desarrollo; y conseguir el número y la fecha oficiales de la resolución del DUA para poder citarla. Todo lo marcado con </w:t>
      </w:r>
      <w:r>
        <w:rPr>
          <w:rFonts w:ascii="Times New Roman" w:hAnsi="Times New Roman"/>
          <w:b w:val="0"/>
          <w:color w:val="CC0000"/>
          <w:sz w:val="24"/>
        </w:rPr>
        <w:t>[VERIFICAR]</w:t>
      </w:r>
      <w:r>
        <w:rPr>
          <w:rFonts w:ascii="Times New Roman" w:hAnsi="Times New Roman"/>
          <w:b w:val="0"/>
          <w:sz w:val="24"/>
        </w:rPr>
        <w:t xml:space="preserve"> debe confirmarse antes de entregar.</w:t>
      </w:r>
    </w:p>
    <w:sectPr w:rsidR="00F1380C" w:rsidRPr="00DC7FFB" w:rsidSect="006B30C8">
      <w:headerReference w:type="default" r:id="rId8"/>
      <w:footerReference w:type="default" r:id="rId9"/>
      <w:pgSz w:w="12240" w:h="15840"/>
      <w:pgMar w:top="1843" w:right="720" w:bottom="720" w:left="720"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C1C7" w14:textId="77777777" w:rsidR="002911F9" w:rsidRDefault="002911F9" w:rsidP="00D53AF8">
      <w:r>
        <w:separator/>
      </w:r>
    </w:p>
  </w:endnote>
  <w:endnote w:type="continuationSeparator" w:id="0">
    <w:p w14:paraId="5228B0D5" w14:textId="77777777" w:rsidR="002911F9" w:rsidRDefault="002911F9" w:rsidP="00D53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8F60D" w14:textId="77777777" w:rsidR="00D53AF8" w:rsidRPr="00D53AF8" w:rsidRDefault="00D53AF8" w:rsidP="00D53AF8">
    <w:pPr>
      <w:rPr>
        <w:rFonts w:ascii="Cambria" w:hAnsi="Cambria"/>
      </w:rPr>
    </w:pPr>
    <w:r w:rsidRPr="004120A8">
      <w:rPr>
        <w:rFonts w:ascii="Cambria" w:hAnsi="Cambria"/>
      </w:rPr>
      <w:t xml:space="preserve">  </w:t>
    </w:r>
  </w:p>
  <w:p w14:paraId="00242612" w14:textId="77777777" w:rsidR="00D53AF8" w:rsidRDefault="00D53AF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FF672" w14:textId="77777777" w:rsidR="002911F9" w:rsidRDefault="002911F9" w:rsidP="00D53AF8">
      <w:r>
        <w:separator/>
      </w:r>
    </w:p>
  </w:footnote>
  <w:footnote w:type="continuationSeparator" w:id="0">
    <w:p w14:paraId="3C76DF4E" w14:textId="77777777" w:rsidR="002911F9" w:rsidRDefault="002911F9" w:rsidP="00D53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1789" w14:textId="3415B1F0" w:rsidR="006D3E84" w:rsidRDefault="006D3E84">
    <w:pPr>
      <w:pStyle w:val="Encabezado"/>
    </w:pPr>
    <w:r>
      <w:rPr>
        <w:noProof/>
      </w:rPr>
      <w:drawing>
        <wp:anchor distT="0" distB="0" distL="0" distR="0" simplePos="0" relativeHeight="251659264" behindDoc="1" locked="0" layoutInCell="1" allowOverlap="1" wp14:anchorId="3F5808F9" wp14:editId="7DC76100">
          <wp:simplePos x="0" y="0"/>
          <wp:positionH relativeFrom="page">
            <wp:align>right</wp:align>
          </wp:positionH>
          <wp:positionV relativeFrom="page">
            <wp:align>top</wp:align>
          </wp:positionV>
          <wp:extent cx="7772400" cy="1175285"/>
          <wp:effectExtent l="0" t="0" r="0" b="6350"/>
          <wp:wrapNone/>
          <wp:docPr id="1029628534" name="image1.png"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0411" name="image1.png" descr="A blue and black background&#10;&#10;Description automatically generated"/>
                  <pic:cNvPicPr/>
                </pic:nvPicPr>
                <pic:blipFill>
                  <a:blip r:embed="rId1" cstate="print"/>
                  <a:stretch>
                    <a:fillRect/>
                  </a:stretch>
                </pic:blipFill>
                <pic:spPr>
                  <a:xfrm>
                    <a:off x="0" y="0"/>
                    <a:ext cx="7772400" cy="11752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576BD38"/>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11163A19"/>
    <w:multiLevelType w:val="hybridMultilevel"/>
    <w:tmpl w:val="BAFE4080"/>
    <w:lvl w:ilvl="0" w:tplc="56D004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3818EA"/>
    <w:multiLevelType w:val="hybridMultilevel"/>
    <w:tmpl w:val="1EBA36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ACE58FD"/>
    <w:multiLevelType w:val="hybridMultilevel"/>
    <w:tmpl w:val="38F681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62428852">
    <w:abstractNumId w:val="1"/>
  </w:num>
  <w:num w:numId="2" w16cid:durableId="1391155981">
    <w:abstractNumId w:val="3"/>
  </w:num>
  <w:num w:numId="3" w16cid:durableId="161513067">
    <w:abstractNumId w:val="2"/>
  </w:num>
  <w:num w:numId="4" w16cid:durableId="197403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AF8"/>
    <w:rsid w:val="0000513C"/>
    <w:rsid w:val="00014547"/>
    <w:rsid w:val="000E3C43"/>
    <w:rsid w:val="001076B7"/>
    <w:rsid w:val="00116D9E"/>
    <w:rsid w:val="00140B2C"/>
    <w:rsid w:val="001771FE"/>
    <w:rsid w:val="00195882"/>
    <w:rsid w:val="001B48AE"/>
    <w:rsid w:val="001C0AF1"/>
    <w:rsid w:val="00220166"/>
    <w:rsid w:val="002217B4"/>
    <w:rsid w:val="00233194"/>
    <w:rsid w:val="002706D6"/>
    <w:rsid w:val="00290CDC"/>
    <w:rsid w:val="002911F9"/>
    <w:rsid w:val="002F7CCC"/>
    <w:rsid w:val="00312860"/>
    <w:rsid w:val="003E1078"/>
    <w:rsid w:val="00460171"/>
    <w:rsid w:val="004A21FE"/>
    <w:rsid w:val="004E1E3A"/>
    <w:rsid w:val="005423A5"/>
    <w:rsid w:val="005A1F4C"/>
    <w:rsid w:val="005C1AEB"/>
    <w:rsid w:val="0065049A"/>
    <w:rsid w:val="0067290A"/>
    <w:rsid w:val="006B30C8"/>
    <w:rsid w:val="006D3E84"/>
    <w:rsid w:val="007332DC"/>
    <w:rsid w:val="007966BD"/>
    <w:rsid w:val="00813A8F"/>
    <w:rsid w:val="00840AB1"/>
    <w:rsid w:val="00896C0F"/>
    <w:rsid w:val="008A6DAA"/>
    <w:rsid w:val="008D6D8B"/>
    <w:rsid w:val="008F0B6D"/>
    <w:rsid w:val="00944AC6"/>
    <w:rsid w:val="00A36219"/>
    <w:rsid w:val="00A5711A"/>
    <w:rsid w:val="00A639CA"/>
    <w:rsid w:val="00B67A87"/>
    <w:rsid w:val="00B71877"/>
    <w:rsid w:val="00BA1CFA"/>
    <w:rsid w:val="00BA6352"/>
    <w:rsid w:val="00BD24B9"/>
    <w:rsid w:val="00BD3F2E"/>
    <w:rsid w:val="00BF3AAA"/>
    <w:rsid w:val="00C63E81"/>
    <w:rsid w:val="00D36430"/>
    <w:rsid w:val="00D53AF8"/>
    <w:rsid w:val="00D5566A"/>
    <w:rsid w:val="00DB7E1D"/>
    <w:rsid w:val="00DC7FFB"/>
    <w:rsid w:val="00DD2480"/>
    <w:rsid w:val="00DE0876"/>
    <w:rsid w:val="00E8550E"/>
    <w:rsid w:val="00E924D9"/>
    <w:rsid w:val="00EB3B2E"/>
    <w:rsid w:val="00EC1A20"/>
    <w:rsid w:val="00EE714A"/>
    <w:rsid w:val="00F1380C"/>
    <w:rsid w:val="00F209EC"/>
    <w:rsid w:val="00F81FF7"/>
    <w:rsid w:val="00FA0C5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E1A75D"/>
  <w15:chartTrackingRefBased/>
  <w15:docId w15:val="{43582F0F-1753-4B52-8690-159ED317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6B7"/>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53AF8"/>
    <w:pPr>
      <w:tabs>
        <w:tab w:val="center" w:pos="4419"/>
        <w:tab w:val="right" w:pos="8838"/>
      </w:tabs>
    </w:pPr>
  </w:style>
  <w:style w:type="character" w:customStyle="1" w:styleId="EncabezadoCar">
    <w:name w:val="Encabezado Car"/>
    <w:basedOn w:val="Fuentedeprrafopredeter"/>
    <w:link w:val="Encabezado"/>
    <w:rsid w:val="00D53AF8"/>
  </w:style>
  <w:style w:type="paragraph" w:styleId="Piedepgina">
    <w:name w:val="footer"/>
    <w:basedOn w:val="Normal"/>
    <w:link w:val="PiedepginaCar"/>
    <w:uiPriority w:val="99"/>
    <w:unhideWhenUsed/>
    <w:rsid w:val="00D53AF8"/>
    <w:pPr>
      <w:tabs>
        <w:tab w:val="center" w:pos="4419"/>
        <w:tab w:val="right" w:pos="8838"/>
      </w:tabs>
    </w:pPr>
  </w:style>
  <w:style w:type="character" w:customStyle="1" w:styleId="PiedepginaCar">
    <w:name w:val="Pie de página Car"/>
    <w:basedOn w:val="Fuentedeprrafopredeter"/>
    <w:link w:val="Piedepgina"/>
    <w:uiPriority w:val="99"/>
    <w:rsid w:val="00D53AF8"/>
  </w:style>
  <w:style w:type="character" w:styleId="Hipervnculo">
    <w:name w:val="Hyperlink"/>
    <w:rsid w:val="00D53AF8"/>
    <w:rPr>
      <w:color w:val="0000FF"/>
      <w:u w:val="single"/>
    </w:rPr>
  </w:style>
  <w:style w:type="character" w:styleId="Textodelmarcadordeposicin">
    <w:name w:val="Placeholder Text"/>
    <w:basedOn w:val="Fuentedeprrafopredeter"/>
    <w:uiPriority w:val="99"/>
    <w:semiHidden/>
    <w:rsid w:val="002706D6"/>
    <w:rPr>
      <w:color w:val="808080"/>
    </w:rPr>
  </w:style>
  <w:style w:type="paragraph" w:styleId="Prrafodelista">
    <w:name w:val="List Paragraph"/>
    <w:basedOn w:val="Normal"/>
    <w:uiPriority w:val="34"/>
    <w:qFormat/>
    <w:rsid w:val="00312860"/>
    <w:pPr>
      <w:ind w:left="720"/>
      <w:contextualSpacing/>
    </w:pPr>
  </w:style>
  <w:style w:type="character" w:customStyle="1" w:styleId="apple-converted-space">
    <w:name w:val="apple-converted-space"/>
    <w:basedOn w:val="Fuentedeprrafopredeter"/>
    <w:rsid w:val="00220166"/>
  </w:style>
  <w:style w:type="table" w:styleId="Tablaconcuadrcula1clara-nfasis5">
    <w:name w:val="Grid Table 1 Light Accent 5"/>
    <w:basedOn w:val="Tablanormal"/>
    <w:uiPriority w:val="46"/>
    <w:rsid w:val="005423A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aconvietas">
    <w:name w:val="List Bullet"/>
    <w:basedOn w:val="Normal"/>
    <w:uiPriority w:val="99"/>
    <w:unhideWhenUsed/>
    <w:rsid w:val="006B30C8"/>
    <w:pPr>
      <w:numPr>
        <w:numId w:val="4"/>
      </w:numPr>
      <w:tabs>
        <w:tab w:val="clear" w:pos="360"/>
      </w:tabs>
      <w:suppressAutoHyphens w:val="0"/>
      <w:overflowPunct/>
      <w:autoSpaceDE/>
      <w:autoSpaceDN/>
      <w:adjustRightInd/>
      <w:spacing w:after="200" w:line="276" w:lineRule="auto"/>
      <w:ind w:left="0" w:firstLine="0"/>
      <w:contextualSpacing/>
      <w:jc w:val="left"/>
      <w:textAlignment w:val="auto"/>
    </w:pPr>
    <w:rPr>
      <w:rFonts w:ascii="Arial" w:eastAsia="Arial" w:hAnsi="Arial"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9FB59-761F-46C4-87A0-28CF8C78B8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0</Words>
  <Characters>4</Characters>
  <Application>Microsoft Office Word</Application>
  <DocSecurity>0</DocSecurity>
  <Lines>1</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Ochoa</dc:creator>
  <cp:keywords/>
  <dc:description/>
  <cp:lastModifiedBy>SIGILFREDO</cp:lastModifiedBy>
  <cp:revision>3</cp:revision>
  <dcterms:created xsi:type="dcterms:W3CDTF">2026-05-30T17:08:00Z</dcterms:created>
  <dcterms:modified xsi:type="dcterms:W3CDTF">2026-05-30T17:13:00Z</dcterms:modified>
</cp:coreProperties>
</file>