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
    <w:p/>
    <w:p>
      <w:pPr>
        <w:spacing w:line="480" w:lineRule="auto"/>
        <w:jc w:val="center"/>
      </w:pPr>
      <w:r>
        <w:rPr>
          <w:rFonts w:ascii="Times New Roman" w:hAnsi="Times New Roman"/>
          <w:b/>
          <w:i w:val="0"/>
          <w:sz w:val="28"/>
        </w:rPr>
        <w:t>Proyecto de investigación doctoral — Capítulos I, II y III (candidatura doctoral)</w:t>
      </w:r>
    </w:p>
    <w:p>
      <w:pPr>
        <w:spacing w:line="480" w:lineRule="auto"/>
        <w:jc w:val="center"/>
      </w:pPr>
      <w:r>
        <w:rPr>
          <w:rFonts w:ascii="Times New Roman" w:hAnsi="Times New Roman"/>
          <w:b w:val="0"/>
          <w:i/>
          <w:sz w:val="24"/>
        </w:rPr>
        <w:t>Prácticas de inclusión y vivencias socioemocionales de estudiantes con dificultades de aprendizaje en básica secundaria semirural y urbana de Córdoba</w:t>
      </w:r>
    </w:p>
    <w:p/>
    <w:p>
      <w:pPr>
        <w:jc w:val="center"/>
      </w:pPr>
      <w:r>
        <w:rPr>
          <w:rFonts w:ascii="Times New Roman" w:hAnsi="Times New Roman"/>
          <w:b w:val="0"/>
          <w:i w:val="0"/>
          <w:sz w:val="24"/>
        </w:rPr>
        <w:t>Dorca Yanelis Ramos Chaljub</w:t>
      </w:r>
    </w:p>
    <w:p>
      <w:pPr>
        <w:jc w:val="center"/>
      </w:pPr>
      <w:r>
        <w:rPr>
          <w:rFonts w:ascii="Times New Roman" w:hAnsi="Times New Roman"/>
          <w:b w:val="0"/>
          <w:i w:val="0"/>
          <w:sz w:val="24"/>
        </w:rPr>
        <w:t>Doctorado en Ciencias de la Educación</w:t>
      </w:r>
    </w:p>
    <w:p>
      <w:pPr>
        <w:jc w:val="center"/>
      </w:pPr>
      <w:r>
        <w:rPr>
          <w:rFonts w:ascii="Times New Roman" w:hAnsi="Times New Roman"/>
          <w:b w:val="0"/>
          <w:i w:val="0"/>
          <w:sz w:val="24"/>
        </w:rPr>
        <w:t>University of Technology and Education (UTE)</w:t>
      </w:r>
    </w:p>
    <w:p>
      <w:pPr>
        <w:jc w:val="center"/>
      </w:pPr>
      <w:r>
        <w:rPr>
          <w:rFonts w:ascii="Times New Roman" w:hAnsi="Times New Roman"/>
          <w:b w:val="0"/>
          <w:i w:val="0"/>
          <w:sz w:val="24"/>
        </w:rPr>
        <w:t>Doctorado en Ciencias de la Educación · UTE</w:t>
      </w:r>
    </w:p>
    <w:p>
      <w:pPr>
        <w:jc w:val="center"/>
      </w:pPr>
      <w:r>
        <w:rPr>
          <w:rFonts w:ascii="Times New Roman" w:hAnsi="Times New Roman"/>
          <w:b w:val="0"/>
          <w:i w:val="0"/>
          <w:sz w:val="24"/>
        </w:rPr>
        <w:t>Asesora de tesis: Gledys Enith Montes Rivera</w:t>
      </w:r>
    </w:p>
    <w:p>
      <w:pPr>
        <w:jc w:val="center"/>
      </w:pPr>
      <w:r>
        <w:rPr>
          <w:rFonts w:ascii="Times New Roman" w:hAnsi="Times New Roman"/>
          <w:b w:val="0"/>
          <w:i w:val="0"/>
          <w:sz w:val="24"/>
        </w:rPr>
        <w:t>8 de agosto de 2026</w:t>
      </w:r>
    </w:p>
    <w:p>
      <w:r>
        <w:br w:type="page"/>
      </w:r>
    </w:p>
    <w:p>
      <w:pPr>
        <w:spacing w:line="480" w:lineRule="auto"/>
        <w:jc w:val="center"/>
      </w:pPr>
      <w:r>
        <w:rPr>
          <w:rFonts w:ascii="Times New Roman" w:hAnsi="Times New Roman"/>
          <w:b/>
          <w:i w:val="0"/>
          <w:sz w:val="24"/>
        </w:rPr>
        <w:t>Proyecto de investigación doctoral — Capítulos I, II y III (candidatura doctoral)</w:t>
      </w:r>
    </w:p>
    <w:p>
      <w:pPr>
        <w:spacing w:line="480" w:lineRule="auto"/>
        <w:jc w:val="both"/>
      </w:pPr>
      <w:r>
        <w:rPr>
          <w:rFonts w:ascii="Times New Roman" w:hAnsi="Times New Roman"/>
          <w:b/>
          <w:i w:val="0"/>
          <w:color w:val="CC0000"/>
          <w:sz w:val="24"/>
        </w:rPr>
        <w:t>Borrador de trabajo. Donde dice 〔TU VOZ: …〕 va tu aporte. Citas verificadas; [VERIFICAR] = confirmar dato.</w:t>
      </w:r>
    </w:p>
    <w:p>
      <w:pPr>
        <w:spacing w:after="120"/>
      </w:pPr>
      <w:r>
        <w:rPr>
          <w:rFonts w:ascii="Times New Roman" w:hAnsi="Times New Roman"/>
          <w:b w:val="0"/>
          <w:sz w:val="24"/>
        </w:rPr>
        <w:t>Proyecto de investigación doctoral — Capítulos I, II y III</w:t>
      </w:r>
    </w:p>
    <w:p>
      <w:pPr>
        <w:spacing w:after="120"/>
      </w:pPr>
      <w:r>
        <w:rPr>
          <w:rFonts w:ascii="Times New Roman" w:hAnsi="Times New Roman"/>
          <w:b w:val="0"/>
          <w:sz w:val="24"/>
        </w:rPr>
        <w:t xml:space="preserve">Versión reorganizada según la Estructura para la presentación de tesis doctoral de la UTE (Dirección del Departamento de Investigación, 26 de septiembre de 2025). Donde dice </w:t>
      </w:r>
      <w:r>
        <w:rPr>
          <w:rFonts w:ascii="Times New Roman" w:hAnsi="Times New Roman"/>
          <w:b w:val="0"/>
          <w:color w:val="CC0000"/>
          <w:sz w:val="24"/>
        </w:rPr>
        <w:t>〔TU VOZ: …〕</w:t>
      </w:r>
      <w:r>
        <w:rPr>
          <w:rFonts w:ascii="Times New Roman" w:hAnsi="Times New Roman"/>
          <w:b w:val="0"/>
          <w:sz w:val="24"/>
        </w:rPr>
        <w:t xml:space="preserve"> va tu aporte. Citas verificadas; </w:t>
      </w:r>
      <w:r>
        <w:rPr>
          <w:rFonts w:ascii="Times New Roman" w:hAnsi="Times New Roman"/>
          <w:b w:val="0"/>
          <w:color w:val="CC0000"/>
          <w:sz w:val="24"/>
        </w:rPr>
        <w:t>[VERIFICAR]</w:t>
      </w:r>
      <w:r>
        <w:rPr>
          <w:rFonts w:ascii="Times New Roman" w:hAnsi="Times New Roman"/>
          <w:b w:val="0"/>
          <w:sz w:val="24"/>
        </w:rPr>
        <w:t xml:space="preserve"> = confirmar el dato antes de entregar.</w:t>
      </w:r>
    </w:p>
    <w:p>
      <w:pPr>
        <w:spacing w:before="200" w:after="80"/>
      </w:pPr>
      <w:r>
        <w:rPr>
          <w:rFonts w:ascii="Times New Roman" w:hAnsi="Times New Roman"/>
          <w:b/>
          <w:color w:val="2E5A87"/>
          <w:sz w:val="26"/>
        </w:rPr>
        <w:t>Nota sobre el título (léela antes que nada)</w:t>
      </w:r>
    </w:p>
    <w:p>
      <w:pPr>
        <w:spacing w:after="120"/>
      </w:pPr>
      <w:r>
        <w:rPr>
          <w:rFonts w:ascii="Times New Roman" w:hAnsi="Times New Roman"/>
          <w:b w:val="0"/>
          <w:sz w:val="24"/>
        </w:rPr>
        <w:t>Los lineamientos fijan tres reglas para el título: se construye a partir del objetivo general omitiendo el verbo principal, no supera las veintiuna palabras y evita subtítulos, siglas y abreviaturas. El título anterior tenía treinta y una palabras y llevaba subtítulo, de modo que incumplía las tres.</w:t>
      </w:r>
    </w:p>
    <w:p>
      <w:pPr>
        <w:spacing w:after="120"/>
      </w:pPr>
      <w:r>
        <w:rPr>
          <w:rFonts w:ascii="Times New Roman" w:hAnsi="Times New Roman"/>
          <w:b w:val="0"/>
          <w:sz w:val="24"/>
        </w:rPr>
        <w:t>El título que encabeza este documento es el que recomiendo, con veinte palabras: «Prácticas de inclusión y vivencias socioemocionales de estudiantes con dificultades de aprendizaje en básica secundaria semirural y urbana de Córdoba». Responde a las cuatro preguntas que exige la norma: qué se investiga (la relación entre prácticas de inclusión y vivencias socioemocionales), a quién (estudiantes con dificultades de aprendizaje), dónde (básica secundaria semirural y urbana de Córdoba) y en qué nivel del sistema.</w:t>
      </w:r>
    </w:p>
    <w:p>
      <w:pPr>
        <w:spacing w:after="120"/>
      </w:pPr>
      <w:r>
        <w:rPr>
          <w:rFonts w:ascii="Times New Roman" w:hAnsi="Times New Roman"/>
          <w:b w:val="0"/>
          <w:sz w:val="24"/>
        </w:rPr>
        <w:t>Dos alternativas, por si prefieres nombrar al docente o el carácter narrativo del estudio:</w:t>
      </w:r>
    </w:p>
    <w:p>
      <w:pPr>
        <w:spacing w:after="120"/>
      </w:pPr>
      <w:r>
        <w:rPr>
          <w:rFonts w:ascii="Times New Roman" w:hAnsi="Times New Roman"/>
          <w:b w:val="0"/>
          <w:sz w:val="24"/>
        </w:rPr>
        <w:t>Alternativa A, diecinueve palabras: «Prácticas docentes de inclusión y vivencias socioemocionales de estudiantes con dificultades de aprendizaje en la básica secundaria de Córdoba». Mete al docente sin desplazar al estudiante, pero pierde el contraste territorial.</w:t>
      </w:r>
    </w:p>
    <w:p>
      <w:pPr>
        <w:spacing w:after="120"/>
      </w:pPr>
      <w:r>
        <w:rPr>
          <w:rFonts w:ascii="Times New Roman" w:hAnsi="Times New Roman"/>
          <w:b w:val="0"/>
          <w:sz w:val="24"/>
        </w:rPr>
        <w:t>Alternativa B, veinte palabras: «Relatos de inclusión y vivencias socioemocionales de estudiantes con dificultades de aprendizaje en básica secundaria semirural y urbana de Córdoba». Anuncia el diseño narrativo desde el título, pero «relatos» puede leerse como técnica y no como objeto.</w:t>
      </w:r>
    </w:p>
    <w:p>
      <w:pPr>
        <w:spacing w:after="120"/>
      </w:pPr>
      <w:r>
        <w:rPr>
          <w:rFonts w:ascii="Times New Roman" w:hAnsi="Times New Roman"/>
          <w:b w:val="0"/>
          <w:color w:val="CC0000"/>
          <w:sz w:val="24"/>
        </w:rPr>
        <w:t>〔TU VOZ: elige uno de los tres y confírmalo con Gledys. El título entra en la portada, en el resumen, en la matriz de coherencia y en el acta de candidatura: conviene cerrarlo ahora y no cambiarlo más.〕</w:t>
      </w:r>
    </w:p>
    <w:p>
      <w:pPr>
        <w:spacing w:before="200" w:after="80"/>
      </w:pPr>
      <w:r>
        <w:rPr>
          <w:rFonts w:ascii="Times New Roman" w:hAnsi="Times New Roman"/>
          <w:b/>
          <w:color w:val="2E5A87"/>
          <w:sz w:val="26"/>
        </w:rPr>
        <w:t>Resumen</w:t>
      </w:r>
    </w:p>
    <w:p>
      <w:pPr>
        <w:spacing w:after="120"/>
      </w:pPr>
      <w:r>
        <w:rPr>
          <w:rFonts w:ascii="Times New Roman" w:hAnsi="Times New Roman"/>
          <w:b w:val="0"/>
          <w:sz w:val="24"/>
        </w:rPr>
        <w:t>La presente investigación se pregunta cómo se relacionan las prácticas de inclusión educativa y las vivencias socioemocionales de los estudiantes con dificultades de aprendizaje y de sus docentes en dos instituciones de básica secundaria de Córdoba, Colombia, una semirural y una urbana. El estudio se justifica en una desarticulación documentada de la política educativa colombiana: mientras el Decreto 1421 de 2017 organiza la inclusión en torno al Diseño Universal para el Aprendizaje y al Plan Individual de Ajustes Razonables, un corpus socioemocional expedido entre 2024 y 2025 regula lo emocional en un carril paralelo que en ningún caso menciona esa norma de inclusión. Lo socioemocional de la inclusión queda así sin nombrarse, sin medirse y sin rendirse: es el punto ciego de la política que este estudio interroga. El propósito general es comprender críticamente, desde los relatos de sus protagonistas, cómo se relacionan esas prácticas y esas vivencias en los dos contextos. Los referentes teóricos articulan el modelo social de la discapacidad y las barreras al aprendizaje y la participación, la socioemocionalidad entendida como reconocimiento y justicia antes que como competencias a entrenar, la mediación de la política y la puesta en acto de la norma en el aula, y la elaboración narrativa de la experiencia como forma legítima de conocimiento educativo. El paradigma es histórico-hermenéutico de orientación crítica, el enfoque cualitativo de alcance comprensivo y el diseño de investigación narrativa, con relatos de vida, entrevista a profundidad y revisión documental; el análisis procede por matrices, análisis temático, círculo hermenéutico y triangulación por fuentes y actores. Se espera comprender cómo una misma política se vive de manera distinta según el territorio y derivar, desde esa comprensión, lineamientos para la política de inclusión y para la orientación escolar.</w:t>
      </w:r>
    </w:p>
    <w:p>
      <w:pPr>
        <w:spacing w:after="120"/>
      </w:pPr>
      <w:r>
        <w:rPr>
          <w:rFonts w:ascii="Times New Roman" w:hAnsi="Times New Roman"/>
          <w:b w:val="0"/>
          <w:sz w:val="24"/>
        </w:rPr>
        <w:t>Palabras clave: inclusión educativa; socioemocionalidad; dificultades de aprendizaje; investigación narrativa; política educativa.</w:t>
      </w:r>
    </w:p>
    <w:p>
      <w:pPr>
        <w:spacing w:before="200" w:after="80"/>
      </w:pPr>
      <w:r>
        <w:rPr>
          <w:rFonts w:ascii="Times New Roman" w:hAnsi="Times New Roman"/>
          <w:b/>
          <w:color w:val="2E5A87"/>
          <w:sz w:val="26"/>
        </w:rPr>
        <w:t>Abstract</w:t>
      </w:r>
    </w:p>
    <w:p>
      <w:pPr>
        <w:spacing w:after="120"/>
      </w:pPr>
      <w:r>
        <w:rPr>
          <w:rFonts w:ascii="Times New Roman" w:hAnsi="Times New Roman"/>
          <w:b w:val="0"/>
          <w:sz w:val="24"/>
        </w:rPr>
        <w:t>This study asks how educational inclusion practices and the socio-emotional lived experiences of students with learning difficulties and of their teachers relate to one another in two lower secondary schools in Córdoba, Colombia, one semi-rural and one urban. Its rationale lies in a documented disarticulation of Colombian education policy: while Decree 1421 of 2017 organizes inclusion around Universal Design for Learning and the Individual Plan of Reasonable Adjustments, a body of socio-emotional legislation enacted between 2024 and 2025 regulates the emotional domain along a parallel track that never once refers to that inclusion norm. The socio-emotional dimension of inclusion is therefore neither named, measured nor accounted for: this is the policy blind spot the study examines. The general purpose is to critically understand, through the narratives of those who live them, how such practices and experiences relate to one another across both settings. The theoretical framework articulates the social model of disability and the notion of barriers to learning and participation, socio-emotionality understood as recognition and justice rather than as skills to be trained, policy mediation and enactment in the classroom, and the narrative elaboration of experience as a legitimate form of educational knowledge. The paradigm is historical-hermeneutic with a critical orientation, the approach is qualitative and comprehensive in scope, and the design is narrative inquiry, drawing on life stories, in-depth interviews and documentary review; analysis proceeds through analytical matrices, thematic analysis, the hermeneutic circle and triangulation by sources and actors. The study expects to understand how one and the same policy is lived differently depending on territory, and to derive from that understanding guidelines for inclusion policy and for school counselling.</w:t>
      </w:r>
    </w:p>
    <w:p>
      <w:pPr>
        <w:spacing w:after="120"/>
      </w:pPr>
      <w:r>
        <w:rPr>
          <w:rFonts w:ascii="Times New Roman" w:hAnsi="Times New Roman"/>
          <w:b w:val="0"/>
          <w:sz w:val="24"/>
        </w:rPr>
        <w:t>Keywords: inclusive education; socio-emotionality; learning difficulties; narrative inquiry; education policy.</w:t>
      </w:r>
    </w:p>
    <w:p>
      <w:pPr>
        <w:spacing w:before="200" w:after="80"/>
      </w:pPr>
      <w:r>
        <w:rPr>
          <w:rFonts w:ascii="Times New Roman" w:hAnsi="Times New Roman"/>
          <w:b/>
          <w:color w:val="2E5A87"/>
          <w:sz w:val="26"/>
        </w:rPr>
        <w:t>Secciones preliminares (control de la entrega)</w:t>
      </w:r>
    </w:p>
    <w:p>
      <w:pPr>
        <w:spacing w:after="120"/>
      </w:pPr>
      <w:r>
        <w:rPr>
          <w:rFonts w:ascii="Times New Roman" w:hAnsi="Times New Roman"/>
          <w:b w:val="0"/>
          <w:sz w:val="24"/>
        </w:rPr>
        <w:t xml:space="preserve">El documento definitivo debe incorporar, en este orden y antes de la introducción: portada según el Anexo I de los lineamientos, dedicatoria y agradecimientos —ambos opcionales—, resumen, abstract, índice general, lista de cuadros, lista de figuras, lista de anexos y lista de apéndices. El índice y las listas se generan de manera automática en Word cuando el documento esté cerrado; incluirlos antes obliga a rehacerlos con cada cambio. </w:t>
      </w:r>
      <w:r>
        <w:rPr>
          <w:rFonts w:ascii="Times New Roman" w:hAnsi="Times New Roman"/>
          <w:b w:val="0"/>
          <w:color w:val="CC0000"/>
          <w:sz w:val="24"/>
        </w:rPr>
        <w:t>〔TU VOZ: decide si incluyes dedicatoria y agradecimientos; si los pones, un párrafo cada uno.〕</w:t>
      </w:r>
    </w:p>
    <w:p>
      <w:pPr>
        <w:spacing w:before="200" w:after="80"/>
      </w:pPr>
      <w:r>
        <w:rPr>
          <w:rFonts w:ascii="Times New Roman" w:hAnsi="Times New Roman"/>
          <w:b/>
          <w:color w:val="2E5A87"/>
          <w:sz w:val="26"/>
        </w:rPr>
        <w:t>Introducción</w:t>
      </w:r>
    </w:p>
    <w:p>
      <w:pPr>
        <w:spacing w:after="120"/>
      </w:pPr>
      <w:r>
        <w:rPr>
          <w:rFonts w:ascii="Times New Roman" w:hAnsi="Times New Roman"/>
          <w:b w:val="0"/>
          <w:sz w:val="24"/>
        </w:rPr>
        <w:t>El presente proyecto formula una investigación doctoral orientada a comprender, desde los relatos de sus propios protagonistas, cómo se relacionan las prácticas de inclusión educativa y las vivencias socioemocionales de los estudiantes con dificultades de aprendizaje —y de sus docentes— en instituciones de básica secundaria de Córdoba (Colombia). Se inscribe en el énfasis de Políticas Contemporáneas y Gestión Educativa, bajo un paradigma histórico-hermenéutico de orientación crítica, con enfoque cualitativo de alcance comprensivo y un diseño de investigación narrativa. Su propósito no es medir competencias ni intervenir para transformar en un solo ciclo, sino comprender en profundidad —desde las voces narradas y en dos contextos, semirural y urbano— cómo se vive esa relación, y derivar, desde esa comprensión, lineamientos para la política educativa y para la orientación escolar.</w:t>
      </w:r>
    </w:p>
    <w:p>
      <w:pPr>
        <w:spacing w:after="120"/>
      </w:pPr>
      <w:r>
        <w:rPr>
          <w:rFonts w:ascii="Times New Roman" w:hAnsi="Times New Roman"/>
          <w:b w:val="0"/>
          <w:sz w:val="24"/>
        </w:rPr>
        <w:t>La opción por la investigación narrativa no es una preferencia de estilo: se sigue necesariamente de la naturaleza del fenómeno. Si la relación entre la inclusión y lo socioemocional se hace accesible por la vía del relato de quienes la viven, entonces el relato no es un insumo para el análisis sino la unidad misma de análisis, y el diseño que le corresponde es el narrativo (Larrosa et al., 1995; Connelly y Clandinin, 1995).</w:t>
      </w:r>
    </w:p>
    <w:p>
      <w:pPr>
        <w:spacing w:after="120"/>
      </w:pPr>
      <w:r>
        <w:rPr>
          <w:rFonts w:ascii="Times New Roman" w:hAnsi="Times New Roman"/>
          <w:b w:val="0"/>
          <w:color w:val="CC0000"/>
          <w:sz w:val="24"/>
        </w:rPr>
        <w:t>〔✍ TU VOZ — Abre con tu motivación, en primera persona. EJEMPLO: «Llevo [años] como orientadora en [institución]. Investigo esto porque [tu razón real]; lo que me mueve es [qué te indigna o te esperanza]».〕</w:t>
      </w:r>
    </w:p>
    <w:p>
      <w:pPr>
        <w:spacing w:after="120"/>
      </w:pPr>
      <w:r>
        <w:rPr>
          <w:rFonts w:ascii="Times New Roman" w:hAnsi="Times New Roman"/>
          <w:b w:val="0"/>
          <w:sz w:val="24"/>
        </w:rPr>
        <w:t>Presentación de los capítulos. El capítulo I contextualiza la problemática: describe el fenómeno en sus escalas internacional, regional, nacional, territorial e institucional, reconstruye el estado del conocimiento sobre el problema, formula la pregunta de investigación y los propósitos, y fundamenta la pertinencia y el impacto del estudio. El capítulo II desarrolla los fundamentos teóricos y epistemológicos en sus tres niveles —epistemológico, teórico y conceptual—, incluido el marco normativo multinivel que ordena el objeto. El capítulo III expone los referentes metodológicos: paradigma, enfoque, tipo y diseño de investigación; la matriz de categorización inicial; las unidades de estudio y los criterios de elegibilidad de los informantes clave; las técnicas e instrumentos de generación de información y su fiabilidad; el procedimiento de recolección; y las consideraciones éticas. Los capítulos IV, V y VI —análisis e interpretación de hallazgos, construcción de aportes teóricos y propuesta— se desarrollarán una vez concluido el trabajo de campo; al final de este documento se anticipa el criterio con que serán abordados.</w:t>
      </w:r>
    </w:p>
    <w:p>
      <w:pPr>
        <w:spacing w:after="120"/>
      </w:pPr>
      <w:r>
        <w:rPr>
          <w:rFonts w:ascii="Times New Roman" w:hAnsi="Times New Roman"/>
          <w:b w:val="0"/>
          <w:sz w:val="24"/>
        </w:rPr>
        <w:t>Estos tres primeros capítulos constituyen, además, el documento con el que se presenta la candidatura doctoral, conforme al apartado 3.1 de los lineamientos institucionales.</w:t>
      </w:r>
    </w:p>
    <w:p>
      <w:pPr>
        <w:spacing w:before="200" w:after="80"/>
      </w:pPr>
      <w:r>
        <w:rPr>
          <w:rFonts w:ascii="Times New Roman" w:hAnsi="Times New Roman"/>
          <w:b/>
          <w:color w:val="2E5A87"/>
          <w:sz w:val="26"/>
        </w:rPr>
        <w:t>Capítulo I. Contextualización de la problemática</w:t>
      </w:r>
    </w:p>
    <w:p>
      <w:pPr>
        <w:spacing w:after="120"/>
      </w:pPr>
      <w:r>
        <w:rPr>
          <w:rFonts w:ascii="Times New Roman" w:hAnsi="Times New Roman"/>
          <w:b/>
          <w:sz w:val="24"/>
        </w:rPr>
        <w:t>1.1 Descripción de la problemática</w:t>
      </w:r>
    </w:p>
    <w:p>
      <w:pPr>
        <w:spacing w:after="120"/>
      </w:pPr>
      <w:r>
        <w:rPr>
          <w:rFonts w:ascii="Times New Roman" w:hAnsi="Times New Roman"/>
          <w:b w:val="0"/>
          <w:sz w:val="24"/>
        </w:rPr>
        <w:t>La educación inclusiva se ha consolidado como un principio de justicia social y como un derecho, antes que como una técnica pedagógica (Shaeffer, 2019). En el plano internacional, la Declaración de Salamanca (UNESCO, 1994) y la Convención sobre los Derechos de las Personas con Discapacidad —cuyo artículo 24 (ONU, 2006) fue interpretado de manera autorizada por la Observación General N.º 4 del Comité (2016)— instalaron el modelo social: la exclusión no reside en el sujeto, sino en las barreras del entorno. La meta 4.5 de los Objetivos de Desarrollo Sostenible (ONU, 2015) compromete, además, a eliminar las disparidades y garantizar el acceso en condiciones de igualdad. En el plano regional, los diagnósticos de la UNESCO-OREALC y la CEPAL muestran que América Latina comparte un patrón estructural: inclusión robusta «de derecho» con implementación desigual «de hecho», persistencia del modelo médico y desatención de la ruralidad. Colombia incorpora ese mandato —junto con la Constitución Política (1991, arts. 13, 44 y 67) y el Código de la Infancia y la Adolescencia (Ley 1098 de 2006)— y lo traduce en el Decreto 1421 de 2017 (compilado en el Decreto Único 1075 de 2015), que define sus dos dispositivos centrales: el Diseño Universal para el Aprendizaje (DUA) y el Plan Individual de Ajustes Razonables (PIAR). Su implementación, sin embargo, no depende solo del nivel nacional: descansa en la capacidad de la Entidad Territorial Certificada —la Secretaría de Educación de la que depende la institución—, que provee (o no) docente de apoyo pedagógico, equipo interdisciplinario y registro en el SIMAT.</w:t>
      </w:r>
    </w:p>
    <w:p>
      <w:pPr>
        <w:spacing w:after="120"/>
      </w:pPr>
      <w:r>
        <w:rPr>
          <w:rFonts w:ascii="Times New Roman" w:hAnsi="Times New Roman"/>
          <w:b w:val="0"/>
          <w:sz w:val="24"/>
        </w:rPr>
        <w:t>Sin embargo, entre la arquitectura normativa y la vida cotidiana del aula se abre una distancia que no obedece a la voluntad de los docentes: muchos maestros se esfuerzan e implementan el DUA y el PIAR, pero lo hacen en condiciones estructurales adversas —sin formación suficiente, sin tiempo, sin recursos y sin acompañamiento—. El punto ciego socioemocional no proviene de un silencio absoluto del Estado —que, por el contrario, ha multiplicado las normas sobre lo emocional en carriles paralelos: primero la convivencia escolar (Ley 1620 de 2013) y la Cátedra de la Paz (Ley 1732 de 2014), y muy recientemente un corpus socioemocional explícito (Ley 2383 de 2024, de educación socioemocional transversal; Ley 2491 de 2025, que incorpora el componente de competencias socioemocionales a los Proyectos Educativos Institucionales; Ley 2503 de 2025, que crea la Cátedra de Educación Emocional; y la Ley 2460 de 2025 de salud mental)—, sino de una desarticulación: ninguna de esas normas se articula con la política específica de inclusión (Decreto 1421 de 2017), de modo que lo socioemocional de la inclusión no se nombra, no se mide ni se rinde, y por tanto no existe para la gestión. La paradoja es elocuente: cuatro leyes en menos de doce meses regulan lo socioemocional, pero su proliferación no cierra la brecha, sino que la reproduce —se legisla en paralelo, con reglamentación y financiación diferidas (hacia 2026 en el caso de la Cátedra)—, y en una institución semirural de baja capacidad ese exceso normativo puede ensanchar, no estrechar, la distancia entre el enunciado legal y el aula. La norma prescribe, además, una secuencia —primero el DUA, universal; solo si no basta, el PIAR, individual—, pero en la práctica institucional el DUA tiende a quedar desactivado y el PIAR se usa de manera reactiva, reservado para quien ya tiene un diagnóstico de discapacidad. Aquí se anuda una costura jurídica: como los ajustes razonables del Decreto 1421 se atan a la discapacidad, un estudiante con una dificultad o un trastorno de aprendizaje que no alcanza ese umbral puede quedar fuera del dispositivo formal; y en el territorio semirural, donde el diagnóstico depende de una oferta de salud escasa y distante, ese umbral se vuelve casi inalcanzable: sin diagnóstico no hay PIAR y, sin PIAR, el estudiante queda invisible para la ruta. El docente opera como «burócrata de calle» (Lipsky, 1980): traduce la política en el aula, pero su margen está condicionado por el diseño de la política y los recursos, no por su carácter. Por eso las respuestas varían —del ajuste pertinente del DUA a la rebaja de la exigencia o la omisión—; la rebaja de exigencia es un mecanismo de afrontamiento ante un vacío de política y de recursos, efecto estructural y no falla moral. Cabe precisar que el DUA sí contempla lo afectivo —su principio de implicación—, pero ese componente queda subutilizado y el PIAR lo reduce a un ajuste cognitivo-curricular. En diálogo crítico con la evidencia psicoeducativa, que muestra que las relaciones docente-estudiante condicionan la inclusión y lo socioemocional (Roorda et al., 2017; Llorent et al., 2024), el análisis desplaza el foco del individuo a las condiciones institucionales.</w:t>
      </w:r>
    </w:p>
    <w:p>
      <w:pPr>
        <w:spacing w:after="120"/>
      </w:pPr>
      <w:r>
        <w:rPr>
          <w:rFonts w:ascii="Times New Roman" w:hAnsi="Times New Roman"/>
          <w:b w:val="0"/>
          <w:sz w:val="24"/>
        </w:rPr>
        <w:t>El problema de fondo es que, en la práctica, tanto el DUA como el PIAR se concretan sobre el aprendizaje, mientras la dimensión socioemocional permanece como punto ciego de la política: una exclusión que el sistema no logra evitar. Lo socioemocional se entiende aquí como cuestión de reconocimiento y justicia, y no como bienestar individual a medir: la «exclusión sentida» se lee como una falla de paridad participativa en sus tres dimensiones (Fraser, 2008) —redistribución (las barreras materiales del territorio semirural, como el acceso desigual al diagnóstico), reconocimiento (la valía negada; Honneth, 1992/1997) y representación (la ausencia de voz de los estudiantes en las decisiones que los afectan)—. Cuando, con buena intención, la inclusión se reduce a bajar la exigencia, puede comunicar una baja expectativa que el estudiante percibe como un menosprecio a su valía: allí se anudan las dos categorías centrales de esta tesis. Esta distancia entre la norma y el aula es reconocida incluso por la autoridad educativa territorial: en un webinar de formación docente de la Secretaría de Educación de Córdoba (Zabogal, 2026), el ponente previene contra una «inclusión de papel» y contra el uso del PIAR como formato generalizado, y advierte que en el territorio rural un mismo «ajuste razonable» resulta impracticable cuando faltan las condiciones materiales básicas —no puede fijarse un lector de pantalla como ajuste donde no hay electricidad—. Significativamente, ese mismo dispositivo institucional expone el DUA y el PIAR sin articularlos con el corpus normativo socioemocional, con lo que reproduce, en la propia formación docente, la desarticulación que este estudio problematiza.</w:t>
      </w:r>
    </w:p>
    <w:p>
      <w:pPr>
        <w:spacing w:after="120"/>
      </w:pPr>
      <w:r>
        <w:rPr>
          <w:rFonts w:ascii="Times New Roman" w:hAnsi="Times New Roman"/>
          <w:b w:val="0"/>
          <w:sz w:val="24"/>
        </w:rPr>
        <w:t>1.1.1 Territorialidad del problema</w:t>
      </w:r>
    </w:p>
    <w:p>
      <w:pPr>
        <w:spacing w:after="120"/>
      </w:pPr>
      <w:r>
        <w:rPr>
          <w:rFonts w:ascii="Times New Roman" w:hAnsi="Times New Roman"/>
          <w:b w:val="0"/>
          <w:sz w:val="24"/>
        </w:rPr>
        <w:t>El problema no ocurre en un lugar abstracto. Se sitúa en el departamento de Córdoba (Colombia), en dos contextos que expresan de manera distinta la misma tensión: el corregimiento de Martínez, primer corregimiento del municipio de Cereté —territorio semirural, permeado por las dinámicas del casco urbano—, y la ciudad de Montería, capital departamental. Esta doble localización no es un dato de escenario: es una condición del fenómeno, porque la capacidad de la Entidad Territorial Certificada, la disponibilidad de diagnóstico en salud, la presencia de orientación escolar y las trayectorias de vida de los estudiantes se distribuyen de manera desigual entre lo rural y lo urbano. La política de inclusión es la misma; lo que cambia es el territorio donde debe hacerse efectiva.</w:t>
      </w:r>
    </w:p>
    <w:p>
      <w:pPr>
        <w:spacing w:after="120"/>
      </w:pPr>
      <w:r>
        <w:rPr>
          <w:rFonts w:ascii="Times New Roman" w:hAnsi="Times New Roman"/>
          <w:b w:val="0"/>
          <w:sz w:val="24"/>
        </w:rPr>
        <w:t>De las 55.889 sedes educativas del país, el 67 % se localiza en zonas rurales, pero solo el 18,6 % de ellas ofrece básica secundaria —frente al 46,8 % de las urbanas—, de modo que el nivel donde se sitúa esta investigación es el eslabón más estrecho de la oferta rural; la brecha de aprendizaje medida en Saber 11 alcanzó 26,4 puntos entre estudiantes urbanos y rurales en 2022, mayor que antes de la pandemia (LEE, 2024). En el nivel municipal, las estadísticas sectoriales de 2024 muestran que Cereté presenta una cobertura neta superior a la mediana departamental y nacional (87,91 % frente a 82,22 % y 80,48 %) y, al mismo tiempo, una repitencia en secundaria superior a ambas (15,07 % frente a 12,41 % y 11,22 %), con una deserción en ese nivel que casi triplica la de primaria (MEN, 2025). El problema del territorio, por tanto, no es de acceso sino de permanencia y de logro, y se concentra precisamente en la básica secundaria.</w:t>
      </w:r>
    </w:p>
    <w:p>
      <w:pPr>
        <w:spacing w:after="120"/>
      </w:pPr>
      <w:r>
        <w:rPr>
          <w:rFonts w:ascii="Times New Roman" w:hAnsi="Times New Roman"/>
          <w:b w:val="0"/>
          <w:sz w:val="24"/>
        </w:rPr>
        <w:t>1.1.2 Manifestaciones del problema en la experiencia escolar</w:t>
      </w:r>
    </w:p>
    <w:p>
      <w:pPr>
        <w:spacing w:after="120"/>
      </w:pPr>
      <w:r>
        <w:rPr>
          <w:rFonts w:ascii="Times New Roman" w:hAnsi="Times New Roman"/>
          <w:b w:val="0"/>
          <w:sz w:val="24"/>
        </w:rPr>
        <w:t>Dos escenas, recogidas desde la posición de orientadora escolar de la investigadora y de carácter ilustrativo —no generalizable—, dan cuerpo al problema. En la primera, un estudiante a quien «para incluirlo» se le asignaron actividades menos complejas se sintió excluido, percibió el trato distinto y se preguntó por qué —una exclusión sentida, y un germen de concientización en sentido freireano (Freire, 1970)—. En la segunda, «José», con un trastorno de aprendizaje no especificado, fue acompañado mediante el diálogo de la orientadora con el estudiante, la familia y el docente, con compromisos de mejora y resultados favorables. Ninguna de las dos pretende caracterizar la práctica de todos los docentes, que es diversa. Ambas anticipan, además, el material con el que trabajará esta investigación: relatos.</w:t>
      </w:r>
    </w:p>
    <w:p>
      <w:pPr>
        <w:spacing w:after="120"/>
      </w:pPr>
      <w:r>
        <w:rPr>
          <w:rFonts w:ascii="Times New Roman" w:hAnsi="Times New Roman"/>
          <w:b w:val="0"/>
          <w:color w:val="CC0000"/>
          <w:sz w:val="24"/>
        </w:rPr>
        <w:t>〔✍ TU VOZ — Reescribe las escenas en PRIMERA PERSONA y suma una tercera. EJEMPLO: «Como orientadora, en [mes/año] viví con José [grado] lo siguiente: [qué pasó, con diálogo textual]. Y no fue el único: también [segunda escena breve]». Pon el grado de José y, si puedes, una frase textual que te haya dicho un estudiante o un docente.〕</w:t>
      </w:r>
    </w:p>
    <w:p>
      <w:pPr>
        <w:spacing w:after="120"/>
      </w:pPr>
      <w:r>
        <w:rPr>
          <w:rFonts w:ascii="Times New Roman" w:hAnsi="Times New Roman"/>
          <w:b w:val="0"/>
          <w:sz w:val="24"/>
        </w:rPr>
        <w:t>1.1.3 Preguntas orientadoras de la delimitación</w:t>
      </w:r>
    </w:p>
    <w:p>
      <w:pPr>
        <w:spacing w:after="120"/>
      </w:pPr>
      <w:r>
        <w:rPr>
          <w:rFonts w:ascii="Times New Roman" w:hAnsi="Times New Roman"/>
          <w:b w:val="0"/>
          <w:sz w:val="24"/>
        </w:rPr>
        <w:t>Los lineamientos institucionales solicitan que la descripción de la problemática responda de manera estructurada a un conjunto de preguntas. Qué se requiere explicar: cómo se relacionan, en la experiencia vivida, las prácticas de inclusión que la política prescribe y las vivencias socioemocionales de los estudiantes con dificultades de aprendizaje. Dónde se manifiesta: en el aula de básica secundaria de dos instituciones oficiales de Córdoba, una semirural y una urbana, y en la cadena de gestión que va del Ministerio a la Entidad Territorial Certificada y de esta a la institución. Cuál es su magnitud: la brecha urbano-rural en aprendizaje asciende a 26,4 puntos en Saber 11, cerca de la mitad de los colegios rurales del país no cuenta con profesionales de acompañamiento psicosocial y solo el 30,3 % de las sedes con matrícula en condición de discapacidad se ubica en zona rural (LEE, 2024). Cuándo ocurre: de manera continua a lo largo de la trayectoria escolar, y de forma aguda en los momentos de valoración pedagógica, remisión y evaluación. Cuáles son sus causas probables: la desarticulación entre el carril normativo de la inclusión y el carril socioemocional; la inversión práctica de la secuencia DUA-PIAR; la atadura jurídica de los ajustes razonables al diagnóstico de discapacidad; y la desigual capacidad institucional del territorio. Qué relevancia tiene: compromete el derecho a la educación en condiciones de igualdad de una población que la propia política deja en un intersticio. Qué se ha intentado: formación docente territorial, ajustes institucionales al PEI y rutas de atención en salud, cuyos alcances y límites son parte de lo que este estudio examina.</w:t>
      </w:r>
    </w:p>
    <w:p>
      <w:pPr>
        <w:spacing w:after="120"/>
      </w:pPr>
      <w:r>
        <w:rPr>
          <w:rFonts w:ascii="Times New Roman" w:hAnsi="Times New Roman"/>
          <w:b/>
          <w:sz w:val="24"/>
        </w:rPr>
        <w:t>1.2 Antecedentes investigativos, estado del arte e indagaciones preliminares</w:t>
      </w:r>
    </w:p>
    <w:p>
      <w:pPr>
        <w:spacing w:after="120"/>
      </w:pPr>
      <w:r>
        <w:rPr>
          <w:rFonts w:ascii="Times New Roman" w:hAnsi="Times New Roman"/>
          <w:b w:val="0"/>
          <w:sz w:val="24"/>
        </w:rPr>
        <w:t>La revisión de tesis doctorales y artículos (2020–2025; Dialnet, repositorios institucionales y bases académicas) muestra un patrón dominante: lo socioemocional se aborda como competencias a desarrollar o medir (en la línea de Bisquerra o Goleman), desde enfoques positivistas o interpretativos, y con foco en el profesorado o en la educación primaria; cuando se aborda como vivencia, suele hacerse de manera descriptiva, en un solo contexto y sin lente de política. Tesis de título cercano, como la de Rojas Aguilar (2025), se inscriben en un enfoque interpretativo-fenomenológico centrado en un contexto. A diferencia de esos trabajos, la presente investigación se distingue por cuatro rasgos que configuran su originalidad: (a) asume lo socioemocional como vivencia narrada y leída desde una hermenéutica crítica con lente de política —el punto ciego socioemocional de la política de inclusión—; (b) adopta un diseño narrativo con contraste entre un contexto semirural y uno urbano; (c) incorpora, a dos voces, la experiencia de los estudiantes con dificultades y la de sus docentes; y (d) se sitúa en el territorio de Córdoba.</w:t>
      </w:r>
    </w:p>
    <w:p>
      <w:pPr>
        <w:spacing w:after="120"/>
      </w:pPr>
      <w:r>
        <w:rPr>
          <w:rFonts w:ascii="Times New Roman" w:hAnsi="Times New Roman"/>
          <w:b w:val="0"/>
          <w:sz w:val="24"/>
        </w:rPr>
        <w:t>A escala regional, la conversación latinoamericana sobre inclusión —documentada por la UNESCO-OREALC y la CEPAL— confirma el patrón estructural (inclusión «de derecho» sin condiciones «de hecho», modelo médico persistente, ruralidad desatendida), lo que sitúa el caso cordobés como expresión de un fenómeno regional. El contexto colombiano y, en particular, la lectura narrativa de la experiencia vivida de esa relación entre contextos semirural y urbano están prácticamente ausentes de la literatura específica. Dos tesis doctorales recientes de Montería —Córdoba— (Pastrana Acosta, 2025; Humanez Ruiz, 2026) muestran la vitalidad de la investigación cualitativa en el territorio, pero son estudios de un solo contexto. El cruce que esta tesis propone —experiencia vivida narrada × relación inclusión-socioemocionalidad × estudiantes y docentes × lente de política × contraste semirural y urbano de Córdoba— permanece vacante.</w:t>
      </w:r>
    </w:p>
    <w:p>
      <w:pPr>
        <w:spacing w:after="120"/>
      </w:pPr>
      <w:r>
        <w:rPr>
          <w:rFonts w:ascii="Times New Roman" w:hAnsi="Times New Roman"/>
          <w:b w:val="0"/>
          <w:sz w:val="24"/>
        </w:rPr>
        <w:t>1.2.1 El vacío como desproporción medida</w:t>
      </w:r>
    </w:p>
    <w:p>
      <w:pPr>
        <w:spacing w:after="120"/>
      </w:pPr>
      <w:r>
        <w:rPr>
          <w:rFonts w:ascii="Times New Roman" w:hAnsi="Times New Roman"/>
          <w:b w:val="0"/>
          <w:sz w:val="24"/>
        </w:rPr>
        <w:t>El vacío de conocimiento no se afirma: se muestra con los números de la propia búsqueda. La ecuación «vivencias socioemocionales dificultades de aprendizaje» devuelve 875 registros, mientras que la ecuación «investigación narrativa relatos de vida educación inclusiva» devuelve 26. La distancia entre ambas cifras no dice que el tema esté inexplorado —lo está, y mucho—, sino que está explorado por una vía y no por la otra: hay una literatura abundante sobre lo socioemocional en las dificultades de aprendizaje y una producción marginal que lo aborde por la vía narrativa. El vacío deja de ser una carencia declarada por la investigadora y pasa a ser una desproporción documentada, que es una posición mucho más defendible ante un jurado. El descenso por escalas territoriales confirma el estrechamiento: veinticinco trabajos en la escala internacional, siete en América Latina, cinco en Colombia, ninguno en Córdoba y ninguno que reúna el cruce completo. Un cero documentado, con su ecuación de búsqueda y su fecha de consulta, es un resultado de investigación y no una falta.</w:t>
      </w:r>
    </w:p>
    <w:p>
      <w:pPr>
        <w:spacing w:after="120"/>
      </w:pPr>
      <w:r>
        <w:rPr>
          <w:rFonts w:ascii="Times New Roman" w:hAnsi="Times New Roman"/>
          <w:b w:val="0"/>
          <w:sz w:val="24"/>
        </w:rPr>
        <w:t>1.2.2 Estado de avance de la revisión</w:t>
      </w:r>
    </w:p>
    <w:p>
      <w:pPr>
        <w:spacing w:after="120"/>
      </w:pPr>
      <w:r>
        <w:rPr>
          <w:rFonts w:ascii="Times New Roman" w:hAnsi="Times New Roman"/>
          <w:b w:val="0"/>
          <w:sz w:val="24"/>
        </w:rPr>
        <w:t>La matriz de antecedentes se construye con un mínimo de veinticinco investigaciones del período 2020–2025, con énfasis en trabajos de nivel doctoral, conforme lo exigen tanto los lineamientos institucionales como la dirección de tesis. Se organiza en el descenso de lo global a lo local —internacional, América Latina, Colombia, Córdoba— e incorpora una línea específica de trabajos cuya metodología sea la investigación narrativa, a fin de familiarizarse tanto con el tema como con el modo de presentar la información propio de ese diseño. El análisis de cada antecedente registra la pregunta que guio el estudio, el enfoque teórico y metodológico adoptado, los hallazgos y sus implicaciones, la contribución a la comprensión del fenómeno, las limitaciones de la producción actual y —de manera especial— la diferencia respecto de la presente investigación, tal como lo exigen los lineamientos. Los referentes clásicos, entre ellos los de la propia metodología narrativa, no se computan como antecedentes sino como fundamentación teórica y metodológica. La matriz completa se presenta en documento anexo.</w:t>
      </w:r>
    </w:p>
    <w:p>
      <w:pPr>
        <w:spacing w:after="120"/>
      </w:pPr>
      <w:r>
        <w:rPr>
          <w:rFonts w:ascii="Times New Roman" w:hAnsi="Times New Roman"/>
          <w:b w:val="0"/>
          <w:color w:val="CC0000"/>
          <w:sz w:val="24"/>
        </w:rPr>
        <w:t>〔TU VOZ: cuando fiches las tesis, integra aquí dos o tres hallazgos puntuales de cada una.〕</w:t>
      </w:r>
    </w:p>
    <w:p>
      <w:pPr>
        <w:spacing w:after="120"/>
      </w:pPr>
      <w:r>
        <w:rPr>
          <w:rFonts w:ascii="Times New Roman" w:hAnsi="Times New Roman"/>
          <w:b w:val="0"/>
          <w:sz w:val="24"/>
        </w:rPr>
        <w:t>Antecedente metodológico obligado. González Alba, Cortés González y Rivas-Flores (2020) constituyen el trabajo más próximo al diseño aquí adoptado: un estudio biográfico-narrativo sobre experiencia escolar, diversidad y ciudadanía justa. Corresponde citarlo de manera explícita y marcar dónde termina su alcance y empieza el de este estudio: ellos trabajan diversidad y ciudadanía; esta investigación trabaja la relación entre inclusión y socioemocionalidad con lente de política y contraste territorial.</w:t>
      </w:r>
    </w:p>
    <w:p>
      <w:pPr>
        <w:spacing w:after="120"/>
      </w:pPr>
      <w:r>
        <w:rPr>
          <w:rFonts w:ascii="Times New Roman" w:hAnsi="Times New Roman"/>
          <w:b w:val="0"/>
          <w:sz w:val="24"/>
        </w:rPr>
        <w:t>1.2.3 Antecedentes contextuales y normativos</w:t>
      </w:r>
    </w:p>
    <w:p>
      <w:pPr>
        <w:spacing w:after="120"/>
      </w:pPr>
      <w:r>
        <w:rPr>
          <w:rFonts w:ascii="Times New Roman" w:hAnsi="Times New Roman"/>
          <w:b w:val="0"/>
          <w:sz w:val="24"/>
        </w:rPr>
        <w:t>Junto a la revisión de la literatura, la construcción del problema se apoya en la historicidad de la política. La inclusión educativa y la educación socioemocional han sido normadas en Colombia por dos carriles legislativos paralelos que hasta hoy no se encuentran. El corpus socioemocional expedido entre 2024 y 2025 —Leyes 2383, 2460, 2491 y 2503— no menciona en ningún caso el Decreto 1421 de 2017, norma eje de la inclusión, y los Lineamientos curriculares para la formación ciudadana y el desarrollo socioemocional (MEN, 2026a) lo citan únicamente para tomar prestadas la definición de currículo y la de ajustes razonables, adoptando además el marco de competencias socioemocionales de CASEL. Cuatro leyes en menos de doce meses indican que el Estado reconoce la urgencia del asunto; su falta de articulación con la norma de inclusión indica que el estudiante con dificultades de aprendizaje queda en el intersticio de ambos carriles.</w:t>
      </w:r>
    </w:p>
    <w:p>
      <w:pPr>
        <w:spacing w:after="120"/>
      </w:pPr>
      <w:r>
        <w:rPr>
          <w:rFonts w:ascii="Times New Roman" w:hAnsi="Times New Roman"/>
          <w:b w:val="0"/>
          <w:sz w:val="24"/>
        </w:rPr>
        <w:t xml:space="preserve">Lectura de los planes de desarrollo. La contextualización incorpora, además, la revisión de los planes de desarrollo nacional, departamental (Córdoba) y municipales (Cereté y Montería) en materia educativa y, específicamente, en lo referido a inclusión y a bienestar socioemocional, con el fin de identificar qué se compromete el Estado a hacer en el territorio donde ocurre el fenómeno. </w:t>
      </w:r>
      <w:r>
        <w:rPr>
          <w:rFonts w:ascii="Times New Roman" w:hAnsi="Times New Roman"/>
          <w:b w:val="0"/>
          <w:color w:val="CC0000"/>
          <w:sz w:val="24"/>
        </w:rPr>
        <w:t>〔TU VOZ: cuando los leas, anota qué líneas concretas aparecen y cuáles no.〕</w:t>
      </w:r>
    </w:p>
    <w:p>
      <w:pPr>
        <w:spacing w:after="120"/>
      </w:pPr>
      <w:r>
        <w:rPr>
          <w:rFonts w:ascii="Times New Roman" w:hAnsi="Times New Roman"/>
          <w:b/>
          <w:sz w:val="24"/>
        </w:rPr>
        <w:t>1.3 Formulación de la pregunta de investigación</w:t>
      </w:r>
    </w:p>
    <w:p>
      <w:pPr>
        <w:spacing w:after="120"/>
      </w:pPr>
      <w:r>
        <w:rPr>
          <w:rFonts w:ascii="Times New Roman" w:hAnsi="Times New Roman"/>
          <w:b w:val="0"/>
          <w:sz w:val="24"/>
        </w:rPr>
        <w:t>¿Cómo se relacionan las prácticas de inclusión educativa y las vivencias socioemocionales de los estudiantes con dificultades de aprendizaje y de sus docentes, en dos instituciones de básica secundaria —una semirural y una urbana— de Córdoba, Colombia?</w:t>
      </w:r>
    </w:p>
    <w:p>
      <w:pPr>
        <w:spacing w:after="120"/>
      </w:pPr>
      <w:r>
        <w:rPr>
          <w:rFonts w:ascii="Times New Roman" w:hAnsi="Times New Roman"/>
          <w:b w:val="0"/>
          <w:sz w:val="24"/>
        </w:rPr>
        <w:t>Subpreguntas orientadoras:</w:t>
      </w:r>
    </w:p>
    <w:p>
      <w:pPr>
        <w:spacing w:after="120"/>
      </w:pPr>
      <w:r>
        <w:rPr>
          <w:rFonts w:ascii="Times New Roman" w:hAnsi="Times New Roman"/>
          <w:b w:val="0"/>
          <w:sz w:val="24"/>
        </w:rPr>
        <w:t>1. ¿Cómo configuran los docentes sus prácticas de inclusión en cada contexto, según lo que ellos mismos narran?</w:t>
      </w:r>
    </w:p>
    <w:p>
      <w:pPr>
        <w:spacing w:after="120"/>
      </w:pPr>
      <w:r>
        <w:rPr>
          <w:rFonts w:ascii="Times New Roman" w:hAnsi="Times New Roman"/>
          <w:b w:val="0"/>
          <w:sz w:val="24"/>
        </w:rPr>
        <w:t>2. ¿Cómo viven e interpretan los estudiantes con dificultades de aprendizaje su proceso de inclusión, narrado en primera persona?</w:t>
      </w:r>
    </w:p>
    <w:p>
      <w:pPr>
        <w:spacing w:after="120"/>
      </w:pPr>
      <w:r>
        <w:rPr>
          <w:rFonts w:ascii="Times New Roman" w:hAnsi="Times New Roman"/>
          <w:b w:val="0"/>
          <w:sz w:val="24"/>
        </w:rPr>
        <w:t>3. ¿Qué relaciones se establecen entre esas prácticas y esas vivencias, y qué variaciones presentan entre el contexto semirural y el urbano?</w:t>
      </w:r>
    </w:p>
    <w:p>
      <w:pPr>
        <w:spacing w:after="120"/>
      </w:pPr>
      <w:r>
        <w:rPr>
          <w:rFonts w:ascii="Times New Roman" w:hAnsi="Times New Roman"/>
          <w:b w:val="0"/>
          <w:sz w:val="24"/>
        </w:rPr>
        <w:t>4. ¿Qué lineamientos para la política de inclusión y para la orientación escolar se derivan de la interpretación de esos relatos?</w:t>
      </w:r>
    </w:p>
    <w:p>
      <w:pPr>
        <w:spacing w:after="120"/>
      </w:pPr>
      <w:r>
        <w:rPr>
          <w:rFonts w:ascii="Times New Roman" w:hAnsi="Times New Roman"/>
          <w:b w:val="0"/>
          <w:sz w:val="24"/>
        </w:rPr>
        <w:t>La pregunta expresa una incertidumbre investigable y no una duda resoluble por consulta: no pregunta si la política se cumple —lo que se respondería con un indicador— sino cómo se relacionan, en la experiencia vivida, dos dimensiones que la política mantiene separadas. Es acotada, porque delimita sujetos, nivel educativo y territorio; y es viable, porque el acceso a los escenarios y a los informantes está garantizado por la trayectoria profesional de la investigadora en uno de ellos.</w:t>
      </w:r>
    </w:p>
    <w:p>
      <w:pPr>
        <w:spacing w:after="120"/>
      </w:pPr>
      <w:r>
        <w:rPr>
          <w:rFonts w:ascii="Times New Roman" w:hAnsi="Times New Roman"/>
          <w:b/>
          <w:sz w:val="24"/>
        </w:rPr>
        <w:t>1.4 Propósitos de la investigación</w:t>
      </w:r>
    </w:p>
    <w:p>
      <w:pPr>
        <w:spacing w:after="120"/>
      </w:pPr>
      <w:r>
        <w:rPr>
          <w:rFonts w:ascii="Times New Roman" w:hAnsi="Times New Roman"/>
          <w:b w:val="0"/>
          <w:sz w:val="24"/>
        </w:rPr>
        <w:t>1.4.1 Propósito general</w:t>
      </w:r>
    </w:p>
    <w:p>
      <w:pPr>
        <w:spacing w:after="120"/>
      </w:pPr>
      <w:r>
        <w:rPr>
          <w:rFonts w:ascii="Times New Roman" w:hAnsi="Times New Roman"/>
          <w:b w:val="0"/>
          <w:sz w:val="24"/>
        </w:rPr>
        <w:t>Comprender críticamente, desde los relatos de sus protagonistas, cómo se relacionan las prácticas de inclusión educativa y las vivencias socioemocionales de los estudiantes con dificultades de aprendizaje y de sus docentes, en dos instituciones de básica secundaria —semirural y urbana— de Córdoba.</w:t>
      </w:r>
    </w:p>
    <w:p>
      <w:pPr>
        <w:spacing w:after="120"/>
      </w:pPr>
      <w:r>
        <w:rPr>
          <w:rFonts w:ascii="Times New Roman" w:hAnsi="Times New Roman"/>
          <w:b w:val="0"/>
          <w:sz w:val="24"/>
        </w:rPr>
        <w:t>1.4.2 Propósitos específicos</w:t>
      </w:r>
    </w:p>
    <w:p>
      <w:pPr>
        <w:spacing w:after="120"/>
      </w:pPr>
      <w:r>
        <w:rPr>
          <w:rFonts w:ascii="Times New Roman" w:hAnsi="Times New Roman"/>
          <w:b w:val="0"/>
          <w:sz w:val="24"/>
        </w:rPr>
        <w:t>1. Caracterizar las prácticas de inclusión educativa que configuran los docentes en cada contexto, a partir de sus relatos.</w:t>
      </w:r>
    </w:p>
    <w:p>
      <w:pPr>
        <w:spacing w:after="120"/>
      </w:pPr>
      <w:r>
        <w:rPr>
          <w:rFonts w:ascii="Times New Roman" w:hAnsi="Times New Roman"/>
          <w:b w:val="0"/>
          <w:sz w:val="24"/>
        </w:rPr>
        <w:t>2. Interpretar las vivencias socioemocionales de los estudiantes con dificultades de aprendizaje, narradas en primera persona.</w:t>
      </w:r>
    </w:p>
    <w:p>
      <w:pPr>
        <w:spacing w:after="120"/>
      </w:pPr>
      <w:r>
        <w:rPr>
          <w:rFonts w:ascii="Times New Roman" w:hAnsi="Times New Roman"/>
          <w:b w:val="0"/>
          <w:sz w:val="24"/>
        </w:rPr>
        <w:t>3. Establecer las relaciones entre esas prácticas y esas vivencias, y sus variaciones entre el contexto semirural y el urbano.</w:t>
      </w:r>
    </w:p>
    <w:p>
      <w:pPr>
        <w:spacing w:after="120"/>
      </w:pPr>
      <w:r>
        <w:rPr>
          <w:rFonts w:ascii="Times New Roman" w:hAnsi="Times New Roman"/>
          <w:b w:val="0"/>
          <w:sz w:val="24"/>
        </w:rPr>
        <w:t>4. Derivar lineamientos para la política de inclusión y para la orientación escolar a partir de la interpretación de los relatos.</w:t>
      </w:r>
    </w:p>
    <w:p>
      <w:pPr>
        <w:spacing w:after="120"/>
      </w:pPr>
      <w:r>
        <w:rPr>
          <w:rFonts w:ascii="Times New Roman" w:hAnsi="Times New Roman"/>
          <w:b w:val="0"/>
          <w:sz w:val="24"/>
        </w:rPr>
        <w:t>Nota de coherencia. Cada propósito específico está redactado con un solo verbo de conocimiento, y ninguno alcanza el nivel de complejidad del propósito general, tal como exigen los lineamientos: el general comprende; los específicos caracterizan, interpretan, establecen y derivan. Cada subpregunta orientadora tiene su propósito correspondiente, y los cuatro, en conjunto, cubren la totalidad del propósito general sin superponerse. Ninguno implementa, mide ni evalúa, lo que preserva la coherencia con el paradigma comprensivo declarado.</w:t>
      </w:r>
    </w:p>
    <w:p>
      <w:pPr>
        <w:spacing w:after="120"/>
      </w:pPr>
      <w:r>
        <w:rPr>
          <w:rFonts w:ascii="Times New Roman" w:hAnsi="Times New Roman"/>
          <w:b/>
          <w:sz w:val="24"/>
        </w:rPr>
        <w:t>1.5 Fundamentación e impacto</w:t>
      </w:r>
    </w:p>
    <w:p>
      <w:pPr>
        <w:spacing w:after="120"/>
      </w:pPr>
      <w:r>
        <w:rPr>
          <w:rFonts w:ascii="Times New Roman" w:hAnsi="Times New Roman"/>
          <w:b w:val="0"/>
          <w:sz w:val="24"/>
        </w:rPr>
        <w:t>Pertinencia política. La investigación se sitúa en el énfasis del Doctorado en Ciencias de la Educación de la UTE en Políticas Contemporáneas y Gestión Educativa y, de manera específica, en su línea institucional de investigación «Análisis de Políticas para la Equidad y Eficiencia en la Educación del Siglo XXI», cuyos objetivos —el análisis de políticas inclusivas que atienden la diversidad de habilidades y la equidad, y la participación comunitaria en la toma de decisiones— coinciden con el objeto y el método de este estudio: examina cómo una política de inclusión (Decreto 1421 de 2017) aborda —o ignora— la dimensión socioemocional, y cómo se recontextualiza al descender por los niveles de gestión —nacional, territorial e institucional— hasta vivirse en el aula. Su aporte es iluminar un punto ciego de la política y ofrecer, desde la orientación escolar, criterios para una inclusión que no se agote en lo cognitivo; sus recomendaciones se dirigen tanto a la institución como a la Secretaría de Educación de la que esta depende.</w:t>
      </w:r>
    </w:p>
    <w:p>
      <w:pPr>
        <w:spacing w:after="120"/>
      </w:pPr>
      <w:r>
        <w:rPr>
          <w:rFonts w:ascii="Times New Roman" w:hAnsi="Times New Roman"/>
          <w:b w:val="0"/>
          <w:sz w:val="24"/>
        </w:rPr>
        <w:t>Pertinencia teórica. El estudio no aplica un marco existente a un caso nuevo: pone en tensión dos tradiciones que rara vez dialogan. La literatura sobre socioemocionalidad, dominada por el marco de competencias, tiende a individualizar el problema; la literatura sobre política de inclusión tiende a analizar la norma sin llegar a la experiencia. Al leer la vivencia socioemocional como cuestión de reconocimiento y de paridad participativa, y no como déficit de habilidades, la investigación amplía el marco interpretativo disponible para pensar la inclusión.</w:t>
      </w:r>
    </w:p>
    <w:p>
      <w:pPr>
        <w:spacing w:after="120"/>
      </w:pPr>
      <w:r>
        <w:rPr>
          <w:rFonts w:ascii="Times New Roman" w:hAnsi="Times New Roman"/>
          <w:b w:val="0"/>
          <w:sz w:val="24"/>
        </w:rPr>
        <w:t>Pertinencia metodológica. La adopción del diseño narrativo para un objeto habitualmente abordado por vía descriptiva o por escalas de medición constituye, en sí misma, un aporte transferible: muestra que la relación entre política y vivencia puede reconstruirse desde el relato, y ofrece un procedimiento replicable de generación e interpretación de relatos de vida a dos voces.</w:t>
      </w:r>
    </w:p>
    <w:p>
      <w:pPr>
        <w:spacing w:after="120"/>
      </w:pPr>
      <w:r>
        <w:rPr>
          <w:rFonts w:ascii="Times New Roman" w:hAnsi="Times New Roman"/>
          <w:b w:val="0"/>
          <w:sz w:val="24"/>
        </w:rPr>
        <w:t>Pertinencia social. Atiende a estudiantes con dificultades de aprendizaje en un contexto semirural, históricamente subatendido por la investigación y por la oferta de servicios especializados, en clave de equidad y justicia social (Shaeffer, 2019).</w:t>
      </w:r>
    </w:p>
    <w:p>
      <w:pPr>
        <w:spacing w:after="120"/>
      </w:pPr>
      <w:r>
        <w:rPr>
          <w:rFonts w:ascii="Times New Roman" w:hAnsi="Times New Roman"/>
          <w:b w:val="0"/>
          <w:sz w:val="24"/>
        </w:rPr>
        <w:t>Pertinencia práctica y académica. La posición insider de la investigadora —orientadora escolar de una de las instituciones— habilita un acceso privilegiado a los relatos y una responsabilidad ética particular; y el vacío identificado en los antecedentes confirma la originalidad del enfoque.</w:t>
      </w:r>
    </w:p>
    <w:p>
      <w:pPr>
        <w:spacing w:after="120"/>
      </w:pPr>
      <w:r>
        <w:rPr>
          <w:rFonts w:ascii="Times New Roman" w:hAnsi="Times New Roman"/>
          <w:b w:val="0"/>
          <w:color w:val="CC0000"/>
          <w:sz w:val="24"/>
        </w:rPr>
        <w:t>〔TU VOZ: agrega tu motivación personal y el valor concreto que esto tendría para tu institución y tus estudiantes.〕</w:t>
      </w:r>
    </w:p>
    <w:p>
      <w:pPr>
        <w:spacing w:after="120"/>
      </w:pPr>
      <w:r>
        <w:rPr>
          <w:rFonts w:ascii="Times New Roman" w:hAnsi="Times New Roman"/>
          <w:b w:val="0"/>
          <w:sz w:val="24"/>
        </w:rPr>
        <w:t>Pertinencia empírica. Los datos oficiales delimitan el problema y fundamentan su relevancia. Durante 2022, de las 44.315 sedes educativas del país con estudiantes matriculados en condición de discapacidad, solo el 30,3 % se ubicaba en zona rural y casi el 70 % en zonas urbanas; en las sedes rurales que sí atienden esta población, el 40 % registra discapacidad cognitiva, la más próxima al campo de las dificultades de aprendizaje. A ello se suma que cerca de la mitad de los colegios rurales del país reportó no contar con profesionales para el acompañamiento psicosocial de sus estudiantes, y que el 42 % de los docentes rurales ocupa cargos provisionales frente al 27 % de los urbanos (LEE, 2024). El estudiante rural con dificultades de aprendizaje habita, por tanto, un doble margen: el de la ruralidad y el de una política cuyos dispositivos de atención se concentran donde él no está; y la figura llamada a mediar entre la norma y la vivencia —la orientación escolar— falta en la mitad de esas escuelas.</w:t>
      </w:r>
    </w:p>
    <w:p>
      <w:pPr>
        <w:spacing w:after="120"/>
      </w:pPr>
      <w:r>
        <w:rPr>
          <w:rFonts w:ascii="Times New Roman" w:hAnsi="Times New Roman"/>
          <w:b w:val="0"/>
          <w:sz w:val="24"/>
        </w:rPr>
        <w:t>Fundamentación de la selección de los contextos. La elección de las instituciones es una decisión metodológica y no de conveniencia de acceso. Primero, la institución semirural presenta un desempeño sostenido que la distingue de la tendencia rural: a partir de los microdatos del Instituto Colombiano para la Evaluación de la Educación —un registro por estudiante— se calculó el promedio de puntaje global por establecimiento en el municipio de Cereté, y la I. E. Alfonso Spath Spath obtuvo el primer lugar entre los catorce establecimientos oficiales del municipio en 2015 (254,2 puntos con 65 evaluados) y en 2017 (262,5 con 83), el segundo en 2019 (244,6 con 146) y el cuarto en 2022 (243,0 con 166), año en el que fue superada por décimas por tres establecimientos rurales y se mantuvo por encima de todos los oficiales urbanos. El hallazgo relevante no es la posición puntual en el escalafón, sino que la institución sostuvo su nivel de desempeño mientras el número de estudiantes evaluados se multiplicaba por dos y media: sostener el puntaje mientras se amplía de manera considerable la población que presenta la prueba es un indicador más robusto que un primer lugar en un año determinado. Segundo, la institución cuenta con la figura de orientación escolar, ausente en cerca de la mitad de las escuelas rurales del país: es un escenario donde la mediación entre la norma de inclusión y la vivencia socioemocional efectivamente ocurre y puede narrarse. Tercero, la condición semirural del corregimiento de Martínez —primer corregimiento del municipio, permeado por dinámicas del casco urbano— es analíticamente productiva porque permite observar la reconfiguración de las prácticas en un territorio de frontera. Cuarto, el contraste con lo urbano no opone carencia y ventaja: según las estadísticas sectoriales del Ministerio de Educación Nacional (2025) para el año 2024, Montería registra la mayor reprobación en secundaria de los municipios considerados (15,15 %, frente a 9,98 % en Cereté) y una cobertura neta en media inferior a la de Cereté (50,83 % frente a 55,05 %). El contraste enfrenta, así, dos configuraciones distintas del mismo problema y no un contexto deficitario frente a uno aventajado.</w:t>
      </w:r>
    </w:p>
    <w:p>
      <w:pPr>
        <w:spacing w:after="120"/>
      </w:pPr>
      <w:r>
        <w:rPr>
          <w:rFonts w:ascii="Times New Roman" w:hAnsi="Times New Roman"/>
          <w:b w:val="0"/>
          <w:sz w:val="24"/>
        </w:rPr>
        <w:t>Impacto esperado. En el plano académico, el estudio aporta un marco interpretativo para leer la relación entre política de inclusión y vivencia socioemocional, y un corpus narrativo inédito sobre un territorio no estudiado. En el plano institucional, ofrece a las dos instituciones participantes una lectura fundamentada de cómo sus prácticas son vividas por quienes las reciben. En el plano de la política pública, entrega a la Entidad Territorial Certificada lineamientos derivados de evidencia narrativa sobre el punto donde la norma deja de traducirse en experiencia. Y en el plano de la orientación escolar, sistematiza criterios para una función que hoy opera sin marco propio en materia socioemocional dentro de la ruta de inclusión.</w:t>
      </w:r>
    </w:p>
    <w:p>
      <w:pPr>
        <w:spacing w:before="200" w:after="80"/>
      </w:pPr>
      <w:r>
        <w:rPr>
          <w:rFonts w:ascii="Times New Roman" w:hAnsi="Times New Roman"/>
          <w:b/>
          <w:color w:val="2E5A87"/>
          <w:sz w:val="26"/>
        </w:rPr>
        <w:t>Capítulo II. Fundamentos teóricos y epistemológicos de la investigación</w:t>
      </w:r>
    </w:p>
    <w:p>
      <w:pPr>
        <w:spacing w:after="120"/>
      </w:pPr>
      <w:r>
        <w:rPr>
          <w:rFonts w:ascii="Times New Roman" w:hAnsi="Times New Roman"/>
          <w:b/>
          <w:sz w:val="24"/>
        </w:rPr>
        <w:t>2.1 Fundamentación epistemológica de la investigación</w:t>
      </w:r>
    </w:p>
    <w:p>
      <w:pPr>
        <w:spacing w:after="120"/>
      </w:pPr>
      <w:r>
        <w:rPr>
          <w:rFonts w:ascii="Times New Roman" w:hAnsi="Times New Roman"/>
          <w:b w:val="0"/>
          <w:sz w:val="24"/>
        </w:rPr>
        <w:t>Qué se considera conocimiento válido en esta investigación. Conocimiento válido es aquí la comprensión fundamentada del sentido que los sujetos atribuyen a lo que viven, reconstruida a partir de sus relatos y sometida a la crítica de las condiciones que la producen. No se busca una explicación causal ni una medición de frecuencias: se busca comprender —verstehen— cómo se experimenta la inclusión, y se asume que esa comprensión es válida cuando resulta fiel a la perspectiva de los participantes, coherente con el conjunto del corpus y transparente en el camino que la produjo.</w:t>
      </w:r>
    </w:p>
    <w:p>
      <w:pPr>
        <w:spacing w:after="120"/>
      </w:pPr>
      <w:r>
        <w:rPr>
          <w:rFonts w:ascii="Times New Roman" w:hAnsi="Times New Roman"/>
          <w:b w:val="0"/>
          <w:sz w:val="24"/>
        </w:rPr>
        <w:t>Cómo se accede a ese conocimiento. Se accede por la vía del relato y de la interpretación. La experiencia no se entrega directamente al investigador: llega narrada, y narrar es ya interpretar. Por eso el acceso es doblemente hermenéutico —el sujeto interpreta su experiencia al contarla, y la investigadora interpreta esa interpretación— y opera en el círculo hermenéutico, donde la comprensión de las partes y la del todo se corrigen mutuamente (Gadamer, 1960/1993; Ricoeur, 1976/2006). La precomprensión de la investigadora no se elimina: se declara y se pone a trabajar como condición de la comprensión.</w:t>
      </w:r>
    </w:p>
    <w:p>
      <w:pPr>
        <w:spacing w:after="120"/>
      </w:pPr>
      <w:r>
        <w:rPr>
          <w:rFonts w:ascii="Times New Roman" w:hAnsi="Times New Roman"/>
          <w:b w:val="0"/>
          <w:sz w:val="24"/>
        </w:rPr>
        <w:t>Desde qué corriente epistemológica se sustenta la investigación. El estudio se inscribe en el paradigma histórico-hermenéutico de orientación crítica. Del componente histórico-hermenéutico toma la tesis de que la realidad social es histórica, intersubjetiva y accesible por vía de la comprensión del sentido, en la tradición que va de Dilthey a Gadamer y Ricoeur. De la orientación crítica toma la exigencia de no detener la interpretación en el sentido subjetivo: las vivencias narradas se leen también como efectos de condiciones estructurales —de política, de recursos, de territorio— que pueden y deben ser criticadas, en la línea del debate Gadamer-Habermas y de la tradición pedagógica crítica latinoamericana (Freire, 1970). Ontológicamente, se asume una realidad social construida históricamente y no dada; epistemológicamente, una relación de implicación entre quien investiga y lo investigado, que en este caso es literal: la investigadora forma parte del escenario que estudia.</w:t>
      </w:r>
    </w:p>
    <w:p>
      <w:pPr>
        <w:spacing w:after="120"/>
      </w:pPr>
      <w:r>
        <w:rPr>
          <w:rFonts w:ascii="Times New Roman" w:hAnsi="Times New Roman"/>
          <w:b w:val="0"/>
          <w:sz w:val="24"/>
        </w:rPr>
        <w:t>Coherencia de corriente. Los autores que sostienen la lectura crítica del estudio pertenecen a una misma tradición —Freire, Fraser, Honneth, Apple, Lipsky, Ball— y no se combinan con marcos de corrientes incompatibles, en particular con marcos conductistas de medición de competencias. Los referentes de la metodología narrativa constituyen un bloque propio, con función metodológica y no teórica.</w:t>
      </w:r>
    </w:p>
    <w:p>
      <w:pPr>
        <w:spacing w:after="120"/>
      </w:pPr>
      <w:r>
        <w:rPr>
          <w:rFonts w:ascii="Times New Roman" w:hAnsi="Times New Roman"/>
          <w:b/>
          <w:sz w:val="24"/>
        </w:rPr>
        <w:t>2.2 Desarrollo teórico de la investigación</w:t>
      </w:r>
    </w:p>
    <w:p>
      <w:pPr>
        <w:spacing w:after="120"/>
      </w:pPr>
      <w:r>
        <w:rPr>
          <w:rFonts w:ascii="Times New Roman" w:hAnsi="Times New Roman"/>
          <w:b w:val="0"/>
          <w:sz w:val="24"/>
        </w:rPr>
        <w:t>Cuatro categorías teóricas articulan el estudio y se corresponden, una a una, con los propósitos específicos.</w:t>
      </w:r>
    </w:p>
    <w:p>
      <w:pPr>
        <w:spacing w:after="120"/>
      </w:pPr>
      <w:r>
        <w:rPr>
          <w:rFonts w:ascii="Times New Roman" w:hAnsi="Times New Roman"/>
          <w:b w:val="0"/>
          <w:sz w:val="24"/>
        </w:rPr>
        <w:t>Inclusión educativa. Se entiende desde el modelo social de la discapacidad —la barrera está en el entorno y no en el sujeto— y como creación de condiciones más que como ajuste individual. Se asumen como categorías analíticas las barreras al aprendizaje y la participación y el enfoque de escuela como totalidad (Booth y Ainscow, 2002; Echeita, 2013), operacionalizadas en Colombia por el Decreto 1421 de 2017 mediante el DUA, el PIAR y los ajustes razonables. La noción de «dificultades de aprendizaje», de origen clínico, se asume críticamente como barrera contextual y no como déficit del sujeto.</w:t>
      </w:r>
    </w:p>
    <w:p>
      <w:pPr>
        <w:spacing w:after="120"/>
      </w:pPr>
      <w:r>
        <w:rPr>
          <w:rFonts w:ascii="Times New Roman" w:hAnsi="Times New Roman"/>
          <w:b w:val="0"/>
          <w:sz w:val="24"/>
        </w:rPr>
        <w:t>Socioemocionalidad. Se comprende no como un conjunto de competencias individuales a entrenar —en contraste explícito con el marco hegemónico del aprendizaje social y emocional (SEL/CASEL), que esta tesis discute críticamente—, sino como vivencia situada y como cuestión de reconocimiento y justicia: el reconocimiento y el menosprecio configuran la experiencia escolar (Honneth, 1992/1997), y la exclusión sentida se lee como una falla de paridad participativa en sus tres dimensiones —redistribución, reconocimiento y representación— (Fraser, 2008).</w:t>
      </w:r>
    </w:p>
    <w:p>
      <w:pPr>
        <w:spacing w:after="120"/>
      </w:pPr>
      <w:r>
        <w:rPr>
          <w:rFonts w:ascii="Times New Roman" w:hAnsi="Times New Roman"/>
          <w:b w:val="0"/>
          <w:sz w:val="24"/>
        </w:rPr>
        <w:t>Mediación de la política. Entre el texto de la norma y su efecto en el aula media un proceso de recontextualización o puesta en acto (Ball et al., 2012), en el que el docente actúa como «burócrata de calle» (Lipsky, 1980). Entendida la política como campo de poder (Apple, 2012) y su implementación como gestión del cambio (Fullan, 2007), la brecha entre norma y aula es un policy gap —de recursos, formación y rendición de cuentas— y no una falta de voluntad. Esta lente de política, conservada como horizonte de interpretación, es la que otorga al estudio su carácter crítico y lo ancla al énfasis del programa.</w:t>
      </w:r>
    </w:p>
    <w:p>
      <w:pPr>
        <w:spacing w:after="120"/>
      </w:pPr>
      <w:r>
        <w:rPr>
          <w:rFonts w:ascii="Times New Roman" w:hAnsi="Times New Roman"/>
          <w:b w:val="0"/>
          <w:sz w:val="24"/>
        </w:rPr>
        <w:t>Comprensión de la experiencia narrada. La comprensión de la experiencia vivida en la tradición de Dilthey, la hermenéutica de Gadamer (1960/1993) y de Ricoeur (1976/2006), y la elaboración narrativa de la experiencia como forma legítima de conocimiento educativo (Larrosa et al., 1995; Connelly y Clandinin, 1995; Bolívar). En la línea de la hermenéutica crítica, la interpretación de las vivencias narradas no renuncia a la crítica de las condiciones estructurales que las producen.</w:t>
      </w:r>
    </w:p>
    <w:p>
      <w:pPr>
        <w:spacing w:after="120"/>
      </w:pPr>
      <w:r>
        <w:rPr>
          <w:rFonts w:ascii="Times New Roman" w:hAnsi="Times New Roman"/>
          <w:b/>
          <w:sz w:val="24"/>
        </w:rPr>
        <w:t>2.3 Definición y fundamentación conceptual</w:t>
      </w:r>
    </w:p>
    <w:p>
      <w:pPr>
        <w:spacing w:after="120"/>
      </w:pPr>
      <w:r>
        <w:rPr>
          <w:rFonts w:ascii="Times New Roman" w:hAnsi="Times New Roman"/>
          <w:b w:val="0"/>
          <w:sz w:val="24"/>
        </w:rPr>
        <w:t>Este nivel delimita el sentido con que se emplean los conceptos centrales, contrastando las definiciones disponibles y fijando la que adopta el estudio. Constituye el glosario operativo del que se derivan, en el capítulo III, las categorías de análisis.</w:t>
      </w:r>
    </w:p>
    <w:p>
      <w:pPr>
        <w:spacing w:after="120"/>
      </w:pPr>
      <w:r>
        <w:rPr>
          <w:rFonts w:ascii="Times New Roman" w:hAnsi="Times New Roman"/>
          <w:b w:val="0"/>
          <w:sz w:val="24"/>
        </w:rPr>
        <w:t>Inclusión educativa. Frente a la acepción restringida que la asimila a la atención de estudiantes con discapacidad, y frente a la que la confunde con integración —ubicar al estudiante en el aula regular sin transformar las condiciones—, este estudio adopta la acepción amplia: proceso de eliminación de barreras para la presencia, la participación y el aprendizaje de todos los estudiantes.</w:t>
      </w:r>
    </w:p>
    <w:p>
      <w:pPr>
        <w:spacing w:after="120"/>
      </w:pPr>
      <w:r>
        <w:rPr>
          <w:rFonts w:ascii="Times New Roman" w:hAnsi="Times New Roman"/>
          <w:b w:val="0"/>
          <w:sz w:val="24"/>
        </w:rPr>
        <w:t>Integración e inclusión. Se distinguen deliberadamente: la integración pide al estudiante que se adapte a la escuela; la inclusión pide a la escuela que se transforme. La diferencia no es semántica, y una de las manifestaciones del problema —bajar la exigencia «para incluir»— es precisamente integración presentada como inclusión.</w:t>
      </w:r>
    </w:p>
    <w:p>
      <w:pPr>
        <w:spacing w:after="120"/>
      </w:pPr>
      <w:r>
        <w:rPr>
          <w:rFonts w:ascii="Times New Roman" w:hAnsi="Times New Roman"/>
          <w:b w:val="0"/>
          <w:sz w:val="24"/>
        </w:rPr>
        <w:t>Dificultad de aprendizaje, trastorno de aprendizaje y discapacidad. Se distinguen los tres términos porque el dispositivo jurídico los trata de manera desigual: los ajustes razonables del Decreto 1421 se atan a la discapacidad, mientras que problemas y trastornos de aprendizaje pueden quedar sin dispositivo formal, aunque socioemocionalmente requieran el mismo acompañamiento. Esta asimetría es objeto de análisis y no un supuesto del estudio.</w:t>
      </w:r>
    </w:p>
    <w:p>
      <w:pPr>
        <w:spacing w:after="120"/>
      </w:pPr>
      <w:r>
        <w:rPr>
          <w:rFonts w:ascii="Times New Roman" w:hAnsi="Times New Roman"/>
          <w:b w:val="0"/>
          <w:sz w:val="24"/>
        </w:rPr>
        <w:t>Vivencia socioemocional. Se emplea en sentido fenomenológico —lo vivido tal como es experimentado y narrado por el sujeto— y no en sentido psicométrico. No se mide: se comprende.</w:t>
      </w:r>
    </w:p>
    <w:p>
      <w:pPr>
        <w:spacing w:after="120"/>
      </w:pPr>
      <w:r>
        <w:rPr>
          <w:rFonts w:ascii="Times New Roman" w:hAnsi="Times New Roman"/>
          <w:b w:val="0"/>
          <w:sz w:val="24"/>
        </w:rPr>
        <w:t>Exclusión sentida. Se define como la experiencia subjetiva de ser puesto aparte, aun cuando el dispositivo institucional se presente como incluyente. Es el concepto que anuda las dos categorías centrales del estudio.</w:t>
      </w:r>
    </w:p>
    <w:p>
      <w:pPr>
        <w:spacing w:after="120"/>
      </w:pPr>
      <w:r>
        <w:rPr>
          <w:rFonts w:ascii="Times New Roman" w:hAnsi="Times New Roman"/>
          <w:b w:val="0"/>
          <w:sz w:val="24"/>
        </w:rPr>
        <w:t>Diseño Universal para el Aprendizaje y Plan Individual de Ajustes Razonables. El primero es el dispositivo universal y de modelo social que la norma sitúa antes; el segundo, el dispositivo individual que solo procede cuando el primero no basta. La inversión práctica de esa secuencia es uno de los hallazgos preliminares del análisis normativo.</w:t>
      </w:r>
    </w:p>
    <w:p>
      <w:pPr>
        <w:spacing w:after="120"/>
      </w:pPr>
      <w:r>
        <w:rPr>
          <w:rFonts w:ascii="Times New Roman" w:hAnsi="Times New Roman"/>
          <w:b w:val="0"/>
          <w:sz w:val="24"/>
        </w:rPr>
        <w:t>Relato de vida. Se entiende como la narración que una persona hace de su propia experiencia en un contexto de investigación, y se distingue de la historia de vida —que aspira a la reconstrucción biográfica completa— y del testimonio —cuya finalidad es la denuncia—. En este estudio el relato de vida es a la vez técnica y unidad de análisis.</w:t>
      </w:r>
    </w:p>
    <w:p>
      <w:pPr>
        <w:spacing w:after="120"/>
      </w:pPr>
      <w:r>
        <w:rPr>
          <w:rFonts w:ascii="Times New Roman" w:hAnsi="Times New Roman"/>
          <w:b w:val="0"/>
          <w:sz w:val="24"/>
        </w:rPr>
        <w:t>2.3.1 Marco normativo multinivel</w:t>
      </w:r>
    </w:p>
    <w:p>
      <w:pPr>
        <w:spacing w:after="120"/>
      </w:pPr>
      <w:r>
        <w:rPr>
          <w:rFonts w:ascii="Times New Roman" w:hAnsi="Times New Roman"/>
          <w:b w:val="0"/>
          <w:sz w:val="24"/>
        </w:rPr>
        <w:t>Más que un listado, este marco se lee como una cadena que desciende de lo global a lo local: cada nivel debería traducir el principio del anterior, y el punto ciego socioemocional se produce justamente en las costuras donde esa traducción se interrumpe.</w:t>
      </w:r>
    </w:p>
    <w:p>
      <w:pPr>
        <w:spacing w:after="120"/>
      </w:pPr>
      <w:r>
        <w:rPr>
          <w:rFonts w:ascii="Times New Roman" w:hAnsi="Times New Roman"/>
          <w:b w:val="0"/>
          <w:sz w:val="24"/>
        </w:rPr>
        <w:t>Internacional: Convención sobre los Derechos del Niño (ONU, 1989); Declaración de Salamanca (UNESCO, 1994); Convención sobre los Derechos de las Personas con Discapacidad (ONU, 2006, art. 24) y su Observación General N.º 4 (Comité, 2016); Agenda 2030 — ODS 4, meta 4.5 (ONU, 2015).</w:t>
      </w:r>
    </w:p>
    <w:p>
      <w:pPr>
        <w:spacing w:after="120"/>
      </w:pPr>
      <w:r>
        <w:rPr>
          <w:rFonts w:ascii="Times New Roman" w:hAnsi="Times New Roman"/>
          <w:b w:val="0"/>
          <w:sz w:val="24"/>
        </w:rPr>
        <w:t xml:space="preserve">Regional (América Latina): marcos y diagnósticos de la UNESCO-OREALC (Santiago) y la CEPAL, y la agenda E2030 regional. </w:t>
      </w:r>
      <w:r>
        <w:rPr>
          <w:rFonts w:ascii="Times New Roman" w:hAnsi="Times New Roman"/>
          <w:b w:val="0"/>
          <w:color w:val="CC0000"/>
          <w:sz w:val="24"/>
        </w:rPr>
        <w:t>[VERIFICAR títulos y años de los instrumentos específicos]</w:t>
      </w:r>
    </w:p>
    <w:p>
      <w:pPr>
        <w:spacing w:after="120"/>
      </w:pPr>
      <w:r>
        <w:rPr>
          <w:rFonts w:ascii="Times New Roman" w:hAnsi="Times New Roman"/>
          <w:b w:val="0"/>
          <w:sz w:val="24"/>
        </w:rPr>
        <w:t>Nacional: Constitución Política de Colombia (1991, arts. 13, 44 y 67); Ley 115 de 1994; Ley 1098 de 2006; Ley Estatutaria 1618 de 2013; Decreto 1421 de 2017 (DUA y PIAR; compilado en el Decreto 1075 de 2015). Carril socioemocional paralelo, hoy desarticulado de la inclusión: Ley 1620 de 2013 y Decreto 1965 de 2013 (convivencia escolar); Ley 1732 de 2014 y Decreto 1038 de 2015 (Cátedra de la Paz); competencias ciudadanas y PESCC; y un corpus socioemocional reciente y en expansión —Ley 2383 de 2024, Ley 2491 de 2025, Ley 2503 de 2025 y Ley 2460 de 2025— que se expide sin articularse con el Decreto 1421. Es la capa más contemporánea de la cadena y la que da máxima vigencia al problema.</w:t>
      </w:r>
    </w:p>
    <w:p>
      <w:pPr>
        <w:spacing w:after="120"/>
      </w:pPr>
      <w:r>
        <w:rPr>
          <w:rFonts w:ascii="Times New Roman" w:hAnsi="Times New Roman"/>
          <w:b w:val="0"/>
          <w:sz w:val="24"/>
        </w:rPr>
        <w:t xml:space="preserve">Reglamentación reciente del DUA: se incorpora al análisis documental la resolución expedida por el Ministerio de Educación Nacional a finales de julio de 2026 sobre la implementación del Diseño Universal para el Aprendizaje, que insiste en su aplicación universal frente a la práctica extendida de pasar directamente al PIAR. </w:t>
      </w:r>
      <w:r>
        <w:rPr>
          <w:rFonts w:ascii="Times New Roman" w:hAnsi="Times New Roman"/>
          <w:b w:val="0"/>
          <w:color w:val="CC0000"/>
          <w:sz w:val="24"/>
        </w:rPr>
        <w:t>[VERIFICAR número, fecha y texto oficial de la resolución]</w:t>
      </w:r>
    </w:p>
    <w:p>
      <w:pPr>
        <w:spacing w:after="120"/>
      </w:pPr>
      <w:r>
        <w:rPr>
          <w:rFonts w:ascii="Times New Roman" w:hAnsi="Times New Roman"/>
          <w:b w:val="0"/>
          <w:sz w:val="24"/>
        </w:rPr>
        <w:t xml:space="preserve">Territorial o meso: la Entidad Territorial Certificada traduce la política mediante el Plan de Implementación Progresiva, la asignación de docente de apoyo pedagógico y equipo interdisciplinario, el reporte en el SIMAT y el financiamiento del Sistema General de Participaciones (Ley 715 de 2001). Es el eslabón donde la capacidad institucional —desigual en lo semirural— habilita o frustra la inclusión. </w:t>
      </w:r>
      <w:r>
        <w:rPr>
          <w:rFonts w:ascii="Times New Roman" w:hAnsi="Times New Roman"/>
          <w:b w:val="0"/>
          <w:color w:val="CC0000"/>
          <w:sz w:val="24"/>
        </w:rPr>
        <w:t>[VERIFICAR artículos del Decreto 1421 sobre obligaciones de las ETC]</w:t>
      </w:r>
    </w:p>
    <w:p>
      <w:pPr>
        <w:spacing w:after="120"/>
      </w:pPr>
      <w:r>
        <w:rPr>
          <w:rFonts w:ascii="Times New Roman" w:hAnsi="Times New Roman"/>
          <w:b w:val="0"/>
          <w:sz w:val="24"/>
        </w:rPr>
        <w:t xml:space="preserve">Institucional: PEI, manual de convivencia y ruta de atención de cada institución. </w:t>
      </w:r>
      <w:r>
        <w:rPr>
          <w:rFonts w:ascii="Times New Roman" w:hAnsi="Times New Roman"/>
          <w:b w:val="0"/>
          <w:color w:val="CC0000"/>
          <w:sz w:val="24"/>
        </w:rPr>
        <w:t>〔TU VOZ: qué dicen sobre inclusión y acompañamiento socioemocional, e indica de qué Secretaría depende tu institución.〕</w:t>
      </w:r>
    </w:p>
    <w:p>
      <w:pPr>
        <w:spacing w:before="200" w:after="80"/>
      </w:pPr>
      <w:r>
        <w:rPr>
          <w:rFonts w:ascii="Times New Roman" w:hAnsi="Times New Roman"/>
          <w:b/>
          <w:color w:val="2E5A87"/>
          <w:sz w:val="26"/>
        </w:rPr>
        <w:t>Capítulo III. Referentes metodológicos de la investigación</w:t>
      </w:r>
    </w:p>
    <w:p>
      <w:pPr>
        <w:spacing w:after="120"/>
      </w:pPr>
      <w:r>
        <w:rPr>
          <w:rFonts w:ascii="Times New Roman" w:hAnsi="Times New Roman"/>
          <w:b/>
          <w:sz w:val="24"/>
        </w:rPr>
        <w:t>3.1 Paradigma y enfoque de la investigación</w:t>
      </w:r>
    </w:p>
    <w:p>
      <w:pPr>
        <w:spacing w:after="120"/>
      </w:pPr>
      <w:r>
        <w:rPr>
          <w:rFonts w:ascii="Times New Roman" w:hAnsi="Times New Roman"/>
          <w:b w:val="0"/>
          <w:sz w:val="24"/>
        </w:rPr>
        <w:t>El paradigma que orienta el estudio es el histórico-hermenéutico de orientación crítica, fundamentado en el apartado 2.1. La elección no es una preferencia: se sigue de la naturaleza del problema. Si lo que se investiga es cómo se relacionan, en la experiencia vivida, una práctica normada y una vivencia que la norma no nombra, entonces el conocimiento buscado es comprensivo —no explicativo ni predictivo— y el paradigma que le corresponde es el que asume la realidad social como histórica e interpretable. La orientación crítica se incorpora porque el estudio no se detiene en el sentido subjetivo: pregunta también por las condiciones de política, de recursos y de territorio que hacen posible esa vivencia.</w:t>
      </w:r>
    </w:p>
    <w:p>
      <w:pPr>
        <w:spacing w:after="120"/>
      </w:pPr>
      <w:r>
        <w:rPr>
          <w:rFonts w:ascii="Times New Roman" w:hAnsi="Times New Roman"/>
          <w:b w:val="0"/>
          <w:sz w:val="24"/>
        </w:rPr>
        <w:t>El enfoque es cualitativo. El interés no está en cuantificar la frecuencia de un hecho, sino en comprender el sentido que los sujetos atribuyen a lo que viven. No se emplea enfoque mixto ni componente cuantitativo: los datos estadísticos citados en el capítulo I cumplen una función contextual y de delimitación del problema, no de medición del fenómeno.</w:t>
      </w:r>
    </w:p>
    <w:p>
      <w:pPr>
        <w:spacing w:after="120"/>
      </w:pPr>
      <w:r>
        <w:rPr>
          <w:rFonts w:ascii="Times New Roman" w:hAnsi="Times New Roman"/>
          <w:b w:val="0"/>
          <w:sz w:val="24"/>
        </w:rPr>
        <w:t>3.1.1 Premisas y proposiciones</w:t>
      </w:r>
    </w:p>
    <w:p>
      <w:pPr>
        <w:spacing w:after="120"/>
      </w:pPr>
      <w:r>
        <w:rPr>
          <w:rFonts w:ascii="Times New Roman" w:hAnsi="Times New Roman"/>
          <w:b w:val="0"/>
          <w:sz w:val="24"/>
        </w:rPr>
        <w:t>Al tratarse de un estudio comprensivo y crítico, no se formulan hipótesis en sentido estricto —que corresponden a diseños explicativos y a enfoques cuantitativos—, sino premisas epistemológicas y proposiciones de partida, que se declaran para ser revisadas y replanteadas durante el proceso, conforme lo prevén los lineamientos institucionales.</w:t>
      </w:r>
    </w:p>
    <w:p>
      <w:pPr>
        <w:spacing w:after="120"/>
      </w:pPr>
      <w:r>
        <w:rPr>
          <w:rFonts w:ascii="Times New Roman" w:hAnsi="Times New Roman"/>
          <w:b w:val="0"/>
          <w:sz w:val="24"/>
        </w:rPr>
        <w:t>Premisa primera: la experiencia escolar de la inclusión es accesible por la vía del relato, y el relato constituye una forma legítima de conocimiento educativo.</w:t>
      </w:r>
    </w:p>
    <w:p>
      <w:pPr>
        <w:spacing w:after="120"/>
      </w:pPr>
      <w:r>
        <w:rPr>
          <w:rFonts w:ascii="Times New Roman" w:hAnsi="Times New Roman"/>
          <w:b w:val="0"/>
          <w:sz w:val="24"/>
        </w:rPr>
        <w:t>Premisa segunda: la política educativa no determina la práctica de manera directa; se recontextualiza en cada nivel de gestión y se pone en acto en el aula, donde el docente dispone de un margen condicionado por el diseño de la política y los recursos disponibles.</w:t>
      </w:r>
    </w:p>
    <w:p>
      <w:pPr>
        <w:spacing w:after="120"/>
      </w:pPr>
      <w:r>
        <w:rPr>
          <w:rFonts w:ascii="Times New Roman" w:hAnsi="Times New Roman"/>
          <w:b w:val="0"/>
          <w:sz w:val="24"/>
        </w:rPr>
        <w:t>Premisa tercera: lo socioemocional no es un atributo individual medible, sino una dimensión relacional de reconocimiento que se juega en la interacción escolar.</w:t>
      </w:r>
    </w:p>
    <w:p>
      <w:pPr>
        <w:spacing w:after="120"/>
      </w:pPr>
      <w:r>
        <w:rPr>
          <w:rFonts w:ascii="Times New Roman" w:hAnsi="Times New Roman"/>
          <w:b w:val="0"/>
          <w:sz w:val="24"/>
        </w:rPr>
        <w:t>Proposición de partida: existe una desarticulación entre el carril normativo de la inclusión y el carril normativo socioemocional, y esa desarticulación tiene efectos sobre la experiencia vivida de los estudiantes con dificultades de aprendizaje. Esta proposición no se somete a verificación estadística: se explora, se matiza o se refuta en la interpretación de los relatos.</w:t>
      </w:r>
    </w:p>
    <w:p>
      <w:pPr>
        <w:spacing w:after="120"/>
      </w:pPr>
      <w:r>
        <w:rPr>
          <w:rFonts w:ascii="Times New Roman" w:hAnsi="Times New Roman"/>
          <w:b w:val="0"/>
          <w:sz w:val="24"/>
        </w:rPr>
        <w:t>3.1.2 Tipo de investigación</w:t>
      </w:r>
    </w:p>
    <w:p>
      <w:pPr>
        <w:spacing w:after="120"/>
      </w:pPr>
      <w:r>
        <w:rPr>
          <w:rFonts w:ascii="Times New Roman" w:hAnsi="Times New Roman"/>
          <w:b w:val="0"/>
          <w:sz w:val="24"/>
        </w:rPr>
        <w:t>El estudio es de tipo comprensivo. Conforme a los lineamientos, en el nivel de posgrado se privilegian los estudios explicativos y comprensivos por su capacidad de dar cuenta en profundidad de fenómenos complejos; en la lógica cualitativa, esa profundidad se alcanza mediante el establecimiento de significados y no de relaciones causales. En cuanto a la fuente de información, el diseño es de campo, porque los datos se generan directamente en interacción con los sujetos, complementado con un componente documental para el análisis normativo e institucional. En cuanto a la temporalidad, es contemporáneo: aborda una problemática actual y en desarrollo, con una dimensión retrospectiva propia del relato de vida, en la medida en que los narradores reconstruyen trayectorias ya transcurridas.</w:t>
      </w:r>
    </w:p>
    <w:p>
      <w:pPr>
        <w:spacing w:after="120"/>
      </w:pPr>
      <w:r>
        <w:rPr>
          <w:rFonts w:ascii="Times New Roman" w:hAnsi="Times New Roman"/>
          <w:b w:val="0"/>
          <w:sz w:val="24"/>
        </w:rPr>
        <w:t>3.1.3 Diseño de la investigación</w:t>
      </w:r>
    </w:p>
    <w:p>
      <w:pPr>
        <w:spacing w:after="120"/>
      </w:pPr>
      <w:r>
        <w:rPr>
          <w:rFonts w:ascii="Times New Roman" w:hAnsi="Times New Roman"/>
          <w:b w:val="0"/>
          <w:sz w:val="24"/>
        </w:rPr>
        <w:t>El diseño es la investigación narrativa, en su modalidad de relatos de vida. El estudio adopta este diseño porque el fenómeno se hace accesible por la vía del relato: es en el relato donde la práctica de inclusión y la vivencia socioemocional aparecen anudadas, tal como las experimentan quienes las protagonizan. La investigación narrativa asume que profesores y estudiantes son contadores de historias y, a la vez, personajes en las historias de otros, y que el relato de experiencia deja de ser anécdota para constituirse en una forma legítima de generar conocimiento educativo (Connelly y Clandinin, 1995; Larrosa et al., 1995).</w:t>
      </w:r>
    </w:p>
    <w:p>
      <w:pPr>
        <w:spacing w:after="120"/>
      </w:pPr>
      <w:r>
        <w:rPr>
          <w:rFonts w:ascii="Times New Roman" w:hAnsi="Times New Roman"/>
          <w:b w:val="0"/>
          <w:sz w:val="24"/>
        </w:rPr>
        <w:t>Frente a otros diseños del campo comprensivo, la elección se fundamenta así: el estudio de casos organizaría el material en torno a unidades institucionales delimitadas, cuando lo que aquí interesa es la trayectoria vivida y narrada; y las perspectivas centradas en la construcción grupal de significados desplazarían el foco desde la vivencia singular hacia el acuerdo colectivo. El diseño narrativo mantiene el foco donde está el problema: en cómo se vive y se cuenta la inclusión.</w:t>
      </w:r>
    </w:p>
    <w:p>
      <w:pPr>
        <w:spacing w:after="120"/>
      </w:pPr>
      <w:r>
        <w:rPr>
          <w:rFonts w:ascii="Times New Roman" w:hAnsi="Times New Roman"/>
          <w:b w:val="0"/>
          <w:sz w:val="24"/>
        </w:rPr>
        <w:t>Reflexividad de la investigadora. La investigadora ocupa una posición insider: es orientadora escolar de una de las instituciones, lo que le otorga un acceso privilegiado a los relatos y le impone una vigilancia particular. Su reflexividad incide en la interpretación y se hace explícita en el diario de campo: no se trata de repetir lo que los autores dicen ni de registrar de manera neutral lo que ocurre, sino de interpretar críticamente desde una posición situada que se declara. La lente crítica de política (Lipsky, 1980; Fraser, 2008; Ball et al., 2012) queda como horizonte de interpretación de los relatos.</w:t>
      </w:r>
    </w:p>
    <w:p>
      <w:pPr>
        <w:spacing w:after="120"/>
      </w:pPr>
      <w:r>
        <w:rPr>
          <w:rFonts w:ascii="Times New Roman" w:hAnsi="Times New Roman"/>
          <w:b/>
          <w:sz w:val="24"/>
        </w:rPr>
        <w:t>3.2 Matriz de categorización inicial</w:t>
      </w:r>
    </w:p>
    <w:p>
      <w:pPr>
        <w:spacing w:after="120"/>
      </w:pPr>
      <w:r>
        <w:rPr>
          <w:rFonts w:ascii="Times New Roman" w:hAnsi="Times New Roman"/>
          <w:b w:val="0"/>
          <w:sz w:val="24"/>
        </w:rPr>
        <w:t>3.2.1 Conceptos definidores y sensibilizadores</w:t>
      </w:r>
    </w:p>
    <w:p>
      <w:pPr>
        <w:spacing w:after="120"/>
      </w:pPr>
      <w:r>
        <w:rPr>
          <w:rFonts w:ascii="Times New Roman" w:hAnsi="Times New Roman"/>
          <w:b w:val="0"/>
          <w:sz w:val="24"/>
        </w:rPr>
        <w:t>Los conceptos definidores delimitan teóricamente las categorías; los sensibilizadores orientan la mirada en el trabajo de campo sin cerrarla.</w:t>
      </w:r>
    </w:p>
    <w:p>
      <w:pPr>
        <w:spacing w:after="120"/>
      </w:pPr>
      <w:r>
        <w:rPr>
          <w:rFonts w:ascii="Times New Roman" w:hAnsi="Times New Roman"/>
          <w:b w:val="0"/>
          <w:sz w:val="24"/>
        </w:rPr>
        <w:t>Definidores: inclusión educativa como eliminación de barreras para la presencia, la participación y el aprendizaje; socioemocionalidad como reconocimiento y paridad participativa; puesta en acto de la política como recontextualización de la norma en el aula; experiencia vivida como sentido narrado por el sujeto.</w:t>
      </w:r>
    </w:p>
    <w:p>
      <w:pPr>
        <w:spacing w:after="120"/>
      </w:pPr>
      <w:r>
        <w:rPr>
          <w:rFonts w:ascii="Times New Roman" w:hAnsi="Times New Roman"/>
          <w:b w:val="0"/>
          <w:sz w:val="24"/>
        </w:rPr>
        <w:t>Sensibilizadores: la exclusión sentida; la rebaja de exigencia como forma de trato; el momento de la remisión y la espera del diagnóstico; la comparación que el estudiante hace entre su tarea y la de sus compañeros; la carga emocional del docente que sostiene la inclusión sin apoyos; el silencio institucional sobre lo emocional; la distancia física y simbólica del territorio.</w:t>
      </w:r>
    </w:p>
    <w:p>
      <w:pPr>
        <w:spacing w:after="120"/>
      </w:pPr>
      <w:r>
        <w:rPr>
          <w:rFonts w:ascii="Times New Roman" w:hAnsi="Times New Roman"/>
          <w:b w:val="0"/>
          <w:sz w:val="24"/>
        </w:rPr>
        <w:t>3.2.2 Categorización</w:t>
      </w:r>
    </w:p>
    <w:p>
      <w:pPr>
        <w:spacing w:after="120"/>
      </w:pPr>
      <w:r>
        <w:rPr>
          <w:rFonts w:ascii="Times New Roman" w:hAnsi="Times New Roman"/>
          <w:b w:val="0"/>
          <w:sz w:val="24"/>
        </w:rPr>
        <w:t>Se presenta una matriz de categorías orientadoras, no cerradas. Conforme a los lineamientos, toda lista inicial es provisional y abierta: las categorías definitivas emergerán del proceso de codificación e interpretación.</w:t>
      </w:r>
    </w:p>
    <w:p>
      <w:pPr>
        <w:spacing w:after="120"/>
      </w:pPr>
      <w:r>
        <w:rPr>
          <w:rFonts w:ascii="Times New Roman" w:hAnsi="Times New Roman"/>
          <w:b w:val="0"/>
          <w:sz w:val="24"/>
        </w:rPr>
        <w:t>Categoría 1, prácticas de inclusión educativa (corresponde al propósito específico 1). Subcategorías: aplicación del DUA en el aula; elaboración y uso del PIAR; ajustes razonables efectivamente realizados; ruta de remisión y derivación; expectativas del docente sobre el estudiante; condiciones institucionales de apoyo.</w:t>
      </w:r>
    </w:p>
    <w:p>
      <w:pPr>
        <w:spacing w:after="120"/>
      </w:pPr>
      <w:r>
        <w:rPr>
          <w:rFonts w:ascii="Times New Roman" w:hAnsi="Times New Roman"/>
          <w:b w:val="0"/>
          <w:sz w:val="24"/>
        </w:rPr>
        <w:t>Categoría 2, vivencias socioemocionales del estudiante (propósito específico 2). Subcategorías: sentido de pertenencia; reconocimiento y menosprecio percibidos; comparación con los pares; autoconcepto académico; experiencia de la diferencia de trato; voz y participación en las decisiones que le afectan.</w:t>
      </w:r>
    </w:p>
    <w:p>
      <w:pPr>
        <w:spacing w:after="120"/>
      </w:pPr>
      <w:r>
        <w:rPr>
          <w:rFonts w:ascii="Times New Roman" w:hAnsi="Times New Roman"/>
          <w:b w:val="0"/>
          <w:sz w:val="24"/>
        </w:rPr>
        <w:t>Categoría 3, relación entre práctica y vivencia (propósito específico 3). Subcategorías: efectos socioemocionales de la rebaja de exigencia; efectos del acompañamiento pertinente; incidencia del diagnóstico y de su ausencia; variaciones entre el contexto semirural y el urbano.</w:t>
      </w:r>
    </w:p>
    <w:p>
      <w:pPr>
        <w:spacing w:after="120"/>
      </w:pPr>
      <w:r>
        <w:rPr>
          <w:rFonts w:ascii="Times New Roman" w:hAnsi="Times New Roman"/>
          <w:b w:val="0"/>
          <w:sz w:val="24"/>
        </w:rPr>
        <w:t>Categoría 4, lente de política y derivación de lineamientos (propósito específico 4). Subcategorías: recontextualización de la norma en cada nivel; margen de maniobra del docente; capacidad institucional del territorio; desarticulación entre el carril de inclusión y el carril socioemocional; criterios para la orientación escolar.</w:t>
      </w:r>
    </w:p>
    <w:p>
      <w:pPr>
        <w:spacing w:after="120"/>
      </w:pPr>
      <w:r>
        <w:rPr>
          <w:rFonts w:ascii="Times New Roman" w:hAnsi="Times New Roman"/>
          <w:b/>
          <w:sz w:val="24"/>
        </w:rPr>
        <w:t>3.3 Unidades de estudio y sujetos de la investigación</w:t>
      </w:r>
    </w:p>
    <w:p>
      <w:pPr>
        <w:spacing w:after="120"/>
      </w:pPr>
      <w:r>
        <w:rPr>
          <w:rFonts w:ascii="Times New Roman" w:hAnsi="Times New Roman"/>
          <w:b w:val="0"/>
          <w:sz w:val="24"/>
        </w:rPr>
        <w:t>3.3.1 Descripción del escenario de investigación</w:t>
      </w:r>
    </w:p>
    <w:p>
      <w:pPr>
        <w:spacing w:after="120"/>
      </w:pPr>
      <w:r>
        <w:rPr>
          <w:rFonts w:ascii="Times New Roman" w:hAnsi="Times New Roman"/>
          <w:b w:val="0"/>
          <w:sz w:val="24"/>
        </w:rPr>
        <w:t xml:space="preserve">El estudio se desarrolla en dos instituciones educativas oficiales de básica secundaria del departamento de Córdoba, Colombia. La primera es la Institución Educativa Alfonso Spath Spath, sede Martínez, en el corregimiento de Martínez del municipio de Cereté, territorio semirural permeado por las dinámicas del casco urbano; cuenta con la figura de orientación escolar y con un desempeño sostenido en las pruebas de Estado, según se fundamenta en el apartado 1.5. La segunda es una institución urbana de la ciudad de Montería, capital departamental. </w:t>
      </w:r>
      <w:r>
        <w:rPr>
          <w:rFonts w:ascii="Times New Roman" w:hAnsi="Times New Roman"/>
          <w:b w:val="0"/>
          <w:color w:val="CC0000"/>
          <w:sz w:val="24"/>
        </w:rPr>
        <w:t>〔TU VOZ / PENDIENTE: nombre de la institución urbana, número de sedes, jornada, matrícula aproximada y nombre de la Secretaría de Educación de la que depende.〕</w:t>
      </w:r>
    </w:p>
    <w:p>
      <w:pPr>
        <w:spacing w:after="120"/>
      </w:pPr>
      <w:r>
        <w:rPr>
          <w:rFonts w:ascii="Times New Roman" w:hAnsi="Times New Roman"/>
          <w:b w:val="0"/>
          <w:sz w:val="24"/>
        </w:rPr>
        <w:t>El contraste entre lo semirural y lo urbano no constituye un diseño comparativo de casos, sino un criterio de selección de los narradores y un eje de contraste en el análisis: se busca comprender cómo una misma política se vive de manera distinta según el territorio.</w:t>
      </w:r>
    </w:p>
    <w:p>
      <w:pPr>
        <w:spacing w:after="120"/>
      </w:pPr>
      <w:r>
        <w:rPr>
          <w:rFonts w:ascii="Times New Roman" w:hAnsi="Times New Roman"/>
          <w:b w:val="0"/>
          <w:sz w:val="24"/>
        </w:rPr>
        <w:t>3.3.2 Descripción de los informantes clave</w:t>
      </w:r>
    </w:p>
    <w:p>
      <w:pPr>
        <w:spacing w:after="120"/>
      </w:pPr>
      <w:r>
        <w:rPr>
          <w:rFonts w:ascii="Times New Roman" w:hAnsi="Times New Roman"/>
          <w:b w:val="0"/>
          <w:sz w:val="24"/>
        </w:rPr>
        <w:t>El corpus se construye a dos voces, con el estudiante como voz central y el docente como voz correlativa: relatos de vida de estudiantes de básica secundaria con dificultades o trastornos de aprendizaje, y relatos de vida de sus docentes. Se prevé un conjunto aproximado de seis relatos de estudiantes y seis de docentes, distribuidos entre los dos contextos, sin que la cifra opere como cuota: el criterio que gobierna el cierre del trabajo de campo es la saturación de la información, es decir, el punto en que los nuevos relatos dejan de aportar sentidos nuevos. Cuando aporte a la comprensión, se incorporan relatos de las familias.</w:t>
      </w:r>
    </w:p>
    <w:p>
      <w:pPr>
        <w:spacing w:after="120"/>
      </w:pPr>
      <w:r>
        <w:rPr>
          <w:rFonts w:ascii="Times New Roman" w:hAnsi="Times New Roman"/>
          <w:b w:val="0"/>
          <w:sz w:val="24"/>
        </w:rPr>
        <w:t>De cada informante se registran las características relevantes para el estudio: en los estudiantes, edad, grado, tipo de dificultad y condición de registro en el SIMAT, trayectoria escolar y tiempo de permanencia en la institución; en los docentes, área, años de ejercicio, tipo de vinculación, formación en educación inclusiva y número de estudiantes focalizados a su cargo. La identificación se hace siempre mediante seudónimo.</w:t>
      </w:r>
    </w:p>
    <w:p>
      <w:pPr>
        <w:spacing w:after="120"/>
      </w:pPr>
      <w:r>
        <w:rPr>
          <w:rFonts w:ascii="Times New Roman" w:hAnsi="Times New Roman"/>
          <w:b w:val="0"/>
          <w:color w:val="CC0000"/>
          <w:sz w:val="24"/>
        </w:rPr>
        <w:t>〔TU VOZ: confirma el número de relatos por contexto una vez definida la institución urbana.〕</w:t>
      </w:r>
    </w:p>
    <w:p>
      <w:pPr>
        <w:spacing w:after="120"/>
      </w:pPr>
      <w:r>
        <w:rPr>
          <w:rFonts w:ascii="Times New Roman" w:hAnsi="Times New Roman"/>
          <w:b w:val="0"/>
          <w:sz w:val="24"/>
        </w:rPr>
        <w:t>3.3.3 Criterios de elegibilidad de los informantes clave</w:t>
      </w:r>
    </w:p>
    <w:p>
      <w:pPr>
        <w:spacing w:after="120"/>
      </w:pPr>
      <w:r>
        <w:rPr>
          <w:rFonts w:ascii="Times New Roman" w:hAnsi="Times New Roman"/>
          <w:b w:val="0"/>
          <w:sz w:val="24"/>
        </w:rPr>
        <w:t>Criterios de inclusión para estudiantes: estar matriculado en básica secundaria en una de las dos instituciones; presentar una dificultad o trastorno de aprendizaje, con o sin diagnóstico formal —la ausencia de diagnóstico no excluye, porque es justamente parte del problema investigado—; contar con consentimiento informado de la familia y con asentimiento propio; disposición para narrar su experiencia; y permanencia mínima de un año en la institución, que garantice una trayectoria narrable.</w:t>
      </w:r>
    </w:p>
    <w:p>
      <w:pPr>
        <w:spacing w:after="120"/>
      </w:pPr>
      <w:r>
        <w:rPr>
          <w:rFonts w:ascii="Times New Roman" w:hAnsi="Times New Roman"/>
          <w:b w:val="0"/>
          <w:sz w:val="24"/>
        </w:rPr>
        <w:t>Criterios de inclusión para docentes: ejercer en básica secundaria en una de las dos instituciones; acompañar de manera efectiva a estudiantes con dificultades de aprendizaje focalizados y registrados en el SIMAT; contar con al menos dos años de ejercicio en la institución; y otorgar consentimiento informado.</w:t>
      </w:r>
    </w:p>
    <w:p>
      <w:pPr>
        <w:spacing w:after="120"/>
      </w:pPr>
      <w:r>
        <w:rPr>
          <w:rFonts w:ascii="Times New Roman" w:hAnsi="Times New Roman"/>
          <w:b w:val="0"/>
          <w:sz w:val="24"/>
        </w:rPr>
        <w:t>Criterios de exclusión: en el caso de los estudiantes, encontrarse en una situación de crisis emocional o de salud que desaconseje la participación, a juicio del equipo de orientación y de la familia; en el caso de los docentes, no tener a cargo estudiantes con dificultades de aprendizaje. Se excluye asimismo a los estudiantes que reciban acompañamiento directo de la investigadora en su rol de orientadora en el momento del trabajo de campo, a fin de evitar el conflicto entre el vínculo profesional y el de investigación; y a quienes, habiendo aceptado inicialmente, manifiesten en cualquier momento su voluntad de retirarse.</w:t>
      </w:r>
    </w:p>
    <w:p>
      <w:pPr>
        <w:spacing w:after="120"/>
      </w:pPr>
      <w:r>
        <w:rPr>
          <w:rFonts w:ascii="Times New Roman" w:hAnsi="Times New Roman"/>
          <w:b/>
          <w:sz w:val="24"/>
        </w:rPr>
        <w:t>3.4 Técnicas e instrumentos de recolección de datos</w:t>
      </w:r>
    </w:p>
    <w:p>
      <w:pPr>
        <w:spacing w:after="120"/>
      </w:pPr>
      <w:r>
        <w:rPr>
          <w:rFonts w:ascii="Times New Roman" w:hAnsi="Times New Roman"/>
          <w:b w:val="0"/>
          <w:sz w:val="24"/>
        </w:rPr>
        <w:t>3.4.1 Técnicas de recolección de información</w:t>
      </w:r>
    </w:p>
    <w:p>
      <w:pPr>
        <w:spacing w:after="120"/>
      </w:pPr>
      <w:r>
        <w:rPr>
          <w:rFonts w:ascii="Times New Roman" w:hAnsi="Times New Roman"/>
          <w:b w:val="0"/>
          <w:sz w:val="24"/>
        </w:rPr>
        <w:t>Tres técnicas, y solo tres. La primera es el relato de vida, entendido como técnica y a la vez como unidad de análisis: el narrador reconstruye su trayectoria escolar en torno a los momentos que él mismo considera significativos, con la mínima intervención posible de la investigadora. La segunda es la entrevista a profundidad, que sucede al relato y permite ahondar en los núcleos de sentido que este abre, mediante un guion flexible organizado por las categorías orientadoras. La tercera es la revisión documental, que aporta el contraste entre lo que la norma prescribe y lo que el relato narra: Decreto 1421 de 2017 y su reglamentación, PIAR reales, PEI, manual de convivencia, ruta de atención, planes de desarrollo y corpus normativo socioemocional. Las tres se acompañan del diario de campo de la investigadora, que registra observaciones, decisiones y movimientos reflexivos.</w:t>
      </w:r>
    </w:p>
    <w:p>
      <w:pPr>
        <w:spacing w:after="120"/>
      </w:pPr>
      <w:r>
        <w:rPr>
          <w:rFonts w:ascii="Times New Roman" w:hAnsi="Times New Roman"/>
          <w:b w:val="0"/>
          <w:sz w:val="24"/>
        </w:rPr>
        <w:t>No se emplean grupo focal, fotovoz ni cartografía social: el grupo focal desplazaría el relato individual hacia el acuerdo grupal, y las técnicas participativas visuales corresponden a diseños de intervención que este estudio no adopta. La validación comunicativa no se lista como técnica independiente: se integra en el proceso de entrevista y en la devolución de las interpretaciones a los participantes.</w:t>
      </w:r>
    </w:p>
    <w:p>
      <w:pPr>
        <w:spacing w:after="120"/>
      </w:pPr>
      <w:r>
        <w:rPr>
          <w:rFonts w:ascii="Times New Roman" w:hAnsi="Times New Roman"/>
          <w:b w:val="0"/>
          <w:sz w:val="24"/>
        </w:rPr>
        <w:t>3.4.2 Diseño y descripción de los instrumentos</w:t>
      </w:r>
    </w:p>
    <w:p>
      <w:pPr>
        <w:spacing w:after="120"/>
      </w:pPr>
      <w:r>
        <w:rPr>
          <w:rFonts w:ascii="Times New Roman" w:hAnsi="Times New Roman"/>
          <w:b w:val="0"/>
          <w:sz w:val="24"/>
        </w:rPr>
        <w:t>Guía de relato de vida. Instrumento de elaboración propia, de una sola página, organizado en tres movimientos temporales —antes, durante y proyección— con consignas abiertas y no directivas del tipo «cuéntame cómo ha sido para ti la escuela desde que…». No contiene preguntas cerradas ni escalas. Se aplica en sesión individual, con grabación de audio previa autorización, y su duración estimada es de sesenta a noventa minutos.</w:t>
      </w:r>
    </w:p>
    <w:p>
      <w:pPr>
        <w:spacing w:after="120"/>
      </w:pPr>
      <w:r>
        <w:rPr>
          <w:rFonts w:ascii="Times New Roman" w:hAnsi="Times New Roman"/>
          <w:b w:val="0"/>
          <w:sz w:val="24"/>
        </w:rPr>
        <w:t>Guion de entrevista a profundidad. Instrumento de elaboración propia, semiestructurado, con dos versiones: una para estudiantes y otra para docentes. Se organiza en cuatro bloques correspondientes a las cuatro categorías orientadoras, con preguntas de apertura, de profundización y de cierre, y un espacio final para lo que el participante quiera agregar. Se aplica en una o dos sesiones, según la disponibilidad del narrador.</w:t>
      </w:r>
    </w:p>
    <w:p>
      <w:pPr>
        <w:spacing w:after="120"/>
      </w:pPr>
      <w:r>
        <w:rPr>
          <w:rFonts w:ascii="Times New Roman" w:hAnsi="Times New Roman"/>
          <w:b w:val="0"/>
          <w:sz w:val="24"/>
        </w:rPr>
        <w:t>Matriz de análisis documental. Instrumento de elaboración propia, de cinco columnas: documento y nivel normativo; lo que prescribe en materia de inclusión; lo que prescribe en materia socioemocional; articulación o desarticulación observable entre ambas; y observaciones de la investigadora.</w:t>
      </w:r>
    </w:p>
    <w:p>
      <w:pPr>
        <w:spacing w:after="120"/>
      </w:pPr>
      <w:r>
        <w:rPr>
          <w:rFonts w:ascii="Times New Roman" w:hAnsi="Times New Roman"/>
          <w:b w:val="0"/>
          <w:sz w:val="24"/>
        </w:rPr>
        <w:t>Diario de campo. Registro sistemático de observaciones, decisiones metodológicas, impresiones y movimientos reflexivos, con entrada fechada por cada jornada de trabajo de campo.</w:t>
      </w:r>
    </w:p>
    <w:p>
      <w:pPr>
        <w:spacing w:after="120"/>
      </w:pPr>
      <w:r>
        <w:rPr>
          <w:rFonts w:ascii="Times New Roman" w:hAnsi="Times New Roman"/>
          <w:b w:val="0"/>
          <w:sz w:val="24"/>
        </w:rPr>
        <w:t xml:space="preserve">Los cuatro instrumentos se someten a validación por juicio de expertos —tres doctores del área— antes de su aplicación, y a una prueba piloto con un narrador de cada tipo, cuyos resultados se emplean para ajustar las consignas. </w:t>
      </w:r>
      <w:r>
        <w:rPr>
          <w:rFonts w:ascii="Times New Roman" w:hAnsi="Times New Roman"/>
          <w:b w:val="0"/>
          <w:color w:val="CC0000"/>
          <w:sz w:val="24"/>
        </w:rPr>
        <w:t>〔TU VOZ: los cuatro instrumentos completos van como apéndices del documento final; conviene irlos redactando desde ya.〕</w:t>
      </w:r>
    </w:p>
    <w:p>
      <w:pPr>
        <w:spacing w:after="120"/>
      </w:pPr>
      <w:r>
        <w:rPr>
          <w:rFonts w:ascii="Times New Roman" w:hAnsi="Times New Roman"/>
          <w:b w:val="0"/>
          <w:sz w:val="24"/>
        </w:rPr>
        <w:t>3.4.3 Fiabilidad de los instrumentos</w:t>
      </w:r>
    </w:p>
    <w:p>
      <w:pPr>
        <w:spacing w:after="120"/>
      </w:pPr>
      <w:r>
        <w:rPr>
          <w:rFonts w:ascii="Times New Roman" w:hAnsi="Times New Roman"/>
          <w:b w:val="0"/>
          <w:sz w:val="24"/>
        </w:rPr>
        <w:t>En la investigación cualitativa el rigor no reside en la exactitud de la medición sino en la veracidad, la autenticidad y la coherencia interpretativa del proceso. La validez se concibe como congruencia entre las interpretaciones de la investigadora y las experiencias de los participantes; la credibilidad, como fidelidad de los resultados a la perspectiva de quienes narran. Los criterios que orientan el estudio son los de credibilidad, transferibilidad, dependabilidad y confirmabilidad (Guba y Lincoln).</w:t>
      </w:r>
    </w:p>
    <w:p>
      <w:pPr>
        <w:spacing w:after="120"/>
      </w:pPr>
      <w:r>
        <w:rPr>
          <w:rFonts w:ascii="Times New Roman" w:hAnsi="Times New Roman"/>
          <w:b w:val="0"/>
          <w:sz w:val="24"/>
        </w:rPr>
        <w:t>Las estrategias que los sostienen son cinco: la triangulación por fuentes —relatos, entrevistas y documentos— y por actores —estudiantes, docentes y familias—; la permanencia prolongada en el escenario, favorecida por la condición insider de la investigadora; la saturación de la información como criterio de cierre; la reflexividad sistemática registrada en el diario de campo; y la devolución de las interpretaciones a los participantes para que corroboren o corrijan la reconstrucción de sus relatos. Se incorpora, además, la revisión por un par crítico externo al escenario.</w:t>
      </w:r>
    </w:p>
    <w:p>
      <w:pPr>
        <w:spacing w:after="120"/>
      </w:pPr>
      <w:r>
        <w:rPr>
          <w:rFonts w:ascii="Times New Roman" w:hAnsi="Times New Roman"/>
          <w:b/>
          <w:sz w:val="24"/>
        </w:rPr>
        <w:t>3.5 Procedimiento para la recolección de datos</w:t>
      </w:r>
    </w:p>
    <w:p>
      <w:pPr>
        <w:spacing w:after="120"/>
      </w:pPr>
      <w:r>
        <w:rPr>
          <w:rFonts w:ascii="Times New Roman" w:hAnsi="Times New Roman"/>
          <w:b w:val="0"/>
          <w:sz w:val="24"/>
        </w:rPr>
        <w:t>3.5.1 Método de recolección</w:t>
      </w:r>
    </w:p>
    <w:p>
      <w:pPr>
        <w:spacing w:after="120"/>
      </w:pPr>
      <w:r>
        <w:rPr>
          <w:rFonts w:ascii="Times New Roman" w:hAnsi="Times New Roman"/>
          <w:b w:val="0"/>
          <w:sz w:val="24"/>
        </w:rPr>
        <w:t>El procedimiento se desarrolla en seis etapas. Primera, preparación: redacción de los instrumentos, validación por juicio de expertos y prueba piloto. Segunda, gestión institucional: solicitud formal de autorización a los rectores de ambas instituciones y, cuando corresponda, a la Secretaría de Educación, con presentación del proyecto y de los instrumentos. Tercera, identificación y contacto de los informantes clave conforme a los criterios de elegibilidad, y obtención del consentimiento informado de las familias y del asentimiento de los estudiantes. Cuarta, generación de los relatos: sesiones individuales de relato de vida y entrevistas a profundidad, en espacios y horarios acordados con los participantes y que no interfieran con su jornada académica, con grabación de audio autorizada. Quinta, transcripción y organización del material, con asignación de seudónimos desde el momento mismo de la transcripción. Sexta, análisis e interpretación conforme al procedimiento descrito a continuación.</w:t>
      </w:r>
    </w:p>
    <w:p>
      <w:pPr>
        <w:spacing w:after="120"/>
      </w:pPr>
      <w:r>
        <w:rPr>
          <w:rFonts w:ascii="Times New Roman" w:hAnsi="Times New Roman"/>
          <w:b w:val="0"/>
          <w:sz w:val="24"/>
        </w:rPr>
        <w:t>Procedimiento de análisis e interpretación. El análisis no es una técnica de campo sino un procedimiento posterior, y se organiza en tres movimientos: matrices de análisis, que permiten organizar, clasificar y poner en relación el material narrativo; análisis temático, con categorías deductivas derivadas de los propósitos y categorías emergentes de los propios relatos; e interpretación guiada por el círculo hermenéutico, que va del fragmento al relato completo y del relato al conjunto del corpus. El contraste entre el contexto semirural y el urbano opera en este nivel analítico. El procesamiento se apoya en software cualitativo —Atlas.ti o NVivo— y en la triangulación por fuentes y por actores.</w:t>
      </w:r>
    </w:p>
    <w:p>
      <w:pPr>
        <w:spacing w:after="120"/>
      </w:pPr>
      <w:r>
        <w:rPr>
          <w:rFonts w:ascii="Times New Roman" w:hAnsi="Times New Roman"/>
          <w:b w:val="0"/>
          <w:sz w:val="24"/>
        </w:rPr>
        <w:t>Registro, almacenamiento y protección. Los audios y las transcripciones se almacenan en un repositorio cifrado de acceso exclusivo de la investigadora; los nombres reales no se registran en ningún archivo de trabajo, sino únicamente en un maestro de correspondencia custodiado por separado. El material se conserva por el tiempo que exija la sustentación y se destruye una vez cumplido ese plazo.</w:t>
      </w:r>
    </w:p>
    <w:p>
      <w:pPr>
        <w:spacing w:after="120"/>
      </w:pPr>
      <w:r>
        <w:rPr>
          <w:rFonts w:ascii="Times New Roman" w:hAnsi="Times New Roman"/>
          <w:b/>
          <w:sz w:val="24"/>
        </w:rPr>
        <w:t>3.6 Consideraciones éticas</w:t>
      </w:r>
    </w:p>
    <w:p>
      <w:pPr>
        <w:spacing w:after="120"/>
      </w:pPr>
      <w:r>
        <w:rPr>
          <w:rFonts w:ascii="Times New Roman" w:hAnsi="Times New Roman"/>
          <w:b w:val="0"/>
          <w:sz w:val="24"/>
        </w:rPr>
        <w:t>3.6.1 Criterios de confidencialidad y protección de datos</w:t>
      </w:r>
    </w:p>
    <w:p>
      <w:pPr>
        <w:spacing w:after="120"/>
      </w:pPr>
      <w:r>
        <w:rPr>
          <w:rFonts w:ascii="Times New Roman" w:hAnsi="Times New Roman"/>
          <w:b w:val="0"/>
          <w:sz w:val="24"/>
        </w:rPr>
        <w:t>Se garantiza la confidencialidad de toda la información suministrada: los registros se anonimizan mediante seudónimos desde la transcripción, no se consignan datos que permitan la identificación directa o indirecta de los participantes ni de terceros mencionados en los relatos, y la información se emplea exclusivamente con fines académicos y científicos. Al tratarse de población menor de edad, se extreman los resguardos: ningún relato se cita de manera que permita reconocer al estudiante dentro de su institución, y los rasgos contextuales que pudieran identificarlo se modifican sin alterar el sentido de lo narrado.</w:t>
      </w:r>
    </w:p>
    <w:p>
      <w:pPr>
        <w:spacing w:after="120"/>
      </w:pPr>
      <w:r>
        <w:rPr>
          <w:rFonts w:ascii="Times New Roman" w:hAnsi="Times New Roman"/>
          <w:b w:val="0"/>
          <w:sz w:val="24"/>
        </w:rPr>
        <w:t>Gestión del doble rol. La investigadora es orientadora escolar de una de las instituciones. Ese doble rol se declara explícitamente ante los participantes y se gestiona mediante tres decisiones: no se emplea como dato ninguna información obtenida en el ejercicio de la orientación escolar, sino únicamente la generada en el marco del estudio y con consentimiento; se excluye del corpus a los estudiantes que estén recibiendo acompañamiento directo de la investigadora durante el trabajo de campo; y se declara ante los participantes que su decisión de participar o de retirarse no tiene ninguna consecuencia sobre el acompañamiento al que tienen derecho. La ausencia de coerción es una condición, no una expectativa.</w:t>
      </w:r>
    </w:p>
    <w:p>
      <w:pPr>
        <w:spacing w:after="120"/>
      </w:pPr>
      <w:r>
        <w:rPr>
          <w:rFonts w:ascii="Times New Roman" w:hAnsi="Times New Roman"/>
          <w:b w:val="0"/>
          <w:sz w:val="24"/>
        </w:rPr>
        <w:t>3.6.2 Obtención del consentimiento informado</w:t>
      </w:r>
    </w:p>
    <w:p>
      <w:pPr>
        <w:spacing w:after="120"/>
      </w:pPr>
      <w:r>
        <w:rPr>
          <w:rFonts w:ascii="Times New Roman" w:hAnsi="Times New Roman"/>
          <w:b w:val="0"/>
          <w:sz w:val="24"/>
        </w:rPr>
        <w:t xml:space="preserve">Se elabora un formato de consentimiento informado para las familias, un formato de asentimiento en lenguaje comprensible para los estudiantes y un formato de consentimiento para los docentes. Los tres explicitan el propósito del estudio, el carácter voluntario de la participación, el derecho a retirarse en cualquier momento y sin justificación, el tratamiento confidencial de la información, el uso previsto de los resultados y los datos de contacto de la investigadora y de la dirección de tesis. Se solicita, además, autorización específica y separada para la grabación de audio. El estudio se somete al aval del comité de ética institucional y a la autorización formal de los rectores de ambas instituciones. </w:t>
      </w:r>
      <w:r>
        <w:rPr>
          <w:rFonts w:ascii="Times New Roman" w:hAnsi="Times New Roman"/>
          <w:b w:val="0"/>
          <w:color w:val="CC0000"/>
          <w:sz w:val="24"/>
        </w:rPr>
        <w:t>〔TU VOZ: pregunta en la UTE cuál es el procedimiento del comité de ética y qué formato exige, porque los tiempos de ese trámite suelen subestimarse.〕</w:t>
      </w:r>
    </w:p>
    <w:p>
      <w:pPr>
        <w:spacing w:before="200" w:after="80"/>
      </w:pPr>
      <w:r>
        <w:rPr>
          <w:rFonts w:ascii="Times New Roman" w:hAnsi="Times New Roman"/>
          <w:b/>
          <w:color w:val="2E5A87"/>
          <w:sz w:val="26"/>
        </w:rPr>
        <w:t>Anticipo de los capítulos IV, V y VI</w:t>
      </w:r>
    </w:p>
    <w:p>
      <w:pPr>
        <w:spacing w:after="120"/>
      </w:pPr>
      <w:r>
        <w:rPr>
          <w:rFonts w:ascii="Times New Roman" w:hAnsi="Times New Roman"/>
          <w:b w:val="0"/>
          <w:sz w:val="24"/>
        </w:rPr>
        <w:t>Los capítulos siguientes se desarrollan una vez concluido el trabajo de campo. Se anticipa aquí el criterio con que serán abordados, para dejar constancia de la coherencia del conjunto.</w:t>
      </w:r>
    </w:p>
    <w:p>
      <w:pPr>
        <w:spacing w:after="120"/>
      </w:pPr>
      <w:r>
        <w:rPr>
          <w:rFonts w:ascii="Times New Roman" w:hAnsi="Times New Roman"/>
          <w:b w:val="0"/>
          <w:sz w:val="24"/>
        </w:rPr>
        <w:t>Capítulo IV, análisis e interpretación de los hallazgos. Se organiza en dos apartados: las técnicas de análisis y el proceso de triangulación, por una parte, y la contrastación de los hallazgos con los referentes teóricos y los antecedentes, por otra. La contrastación examinará si las categorías identificadas coinciden con los marcos disponibles, los amplían o los cuestionan.</w:t>
      </w:r>
    </w:p>
    <w:p>
      <w:pPr>
        <w:spacing w:after="120"/>
      </w:pPr>
      <w:r>
        <w:rPr>
          <w:rFonts w:ascii="Times New Roman" w:hAnsi="Times New Roman"/>
          <w:b w:val="0"/>
          <w:sz w:val="24"/>
        </w:rPr>
        <w:t>Capítulo V, construcción y aportes teórico-argumentativos. Comprende las conclusiones organizadas en función de cada propósito específico, las líneas de investigación que el estudio deja abiertas y las recomendaciones dirigidas a los actores implicados: institución, Entidad Territorial Certificada, orientación escolar e investigadores.</w:t>
      </w:r>
    </w:p>
    <w:p>
      <w:pPr>
        <w:spacing w:after="120"/>
      </w:pPr>
      <w:r>
        <w:rPr>
          <w:rFonts w:ascii="Times New Roman" w:hAnsi="Times New Roman"/>
          <w:b w:val="0"/>
          <w:sz w:val="24"/>
        </w:rPr>
        <w:t>Capítulo VI, propuesta. Aquí se ubican los lineamientos para la política de inclusión y para la orientación escolar que constituyen el cuarto propósito específico. Los lineamientos institucionales prevén este capítulo como una construcción de carácter teórico, metodológico o práctico que surja del proceso investigativo y aporte de manera sustantiva al conocimiento. Derivar lineamientos no equivale a intervenir: es la forma en que un estudio comprensivo devuelve al campo lo que comprendió, y es lo que ancla esta tesis al énfasis de Políticas Contemporáneas y Gestión Educativa.</w:t>
      </w:r>
    </w:p>
    <w:p>
      <w:pPr>
        <w:spacing w:before="200" w:after="80"/>
      </w:pPr>
      <w:r>
        <w:rPr>
          <w:rFonts w:ascii="Times New Roman" w:hAnsi="Times New Roman"/>
          <w:b/>
          <w:color w:val="2E5A87"/>
          <w:sz w:val="26"/>
        </w:rPr>
        <w:t>Cronograma y requisitos del programa</w:t>
      </w:r>
    </w:p>
    <w:p>
      <w:pPr>
        <w:spacing w:after="120"/>
      </w:pPr>
      <w:r>
        <w:rPr>
          <w:rFonts w:ascii="Times New Roman" w:hAnsi="Times New Roman"/>
          <w:b w:val="0"/>
          <w:sz w:val="24"/>
        </w:rPr>
        <w:t>Actividades calificables acordadas con la dirección de tesis: matriz de coherencia del tema, 30 de agosto de 2026; matriz de antecedentes con mínimo veinticinco tesis doctorales del período 2020-2025, 30 de septiembre de 2026; y primer capítulo de la tesis, «Contextualización del problema e indagaciones preliminares», 25 de octubre de 2026.</w:t>
      </w:r>
    </w:p>
    <w:p>
      <w:pPr>
        <w:spacing w:after="120"/>
      </w:pPr>
      <w:r>
        <w:rPr>
          <w:rFonts w:ascii="Times New Roman" w:hAnsi="Times New Roman"/>
          <w:b w:val="0"/>
          <w:sz w:val="24"/>
        </w:rPr>
        <w:t>Requisitos de candidatura doctoral, conforme al apartado III de los lineamientos: haber aprobado los cursos I a IV de investigación; entrega del proyecto con los capítulos I, II y III; y sustentación oral de veinte minutos ante dos doctores evaluadores, seguida de diez minutos de diálogo académico. Este documento corresponde a esa entrega.</w:t>
      </w:r>
    </w:p>
    <w:p>
      <w:pPr>
        <w:spacing w:after="120"/>
      </w:pPr>
      <w:r>
        <w:rPr>
          <w:rFonts w:ascii="Times New Roman" w:hAnsi="Times New Roman"/>
          <w:b w:val="0"/>
          <w:sz w:val="24"/>
        </w:rPr>
        <w:t>Requisitos de grado, conforme al apartado 4.2: plan de estudios completo; candidatura formalizada; carta de revisión de redacción y estilo emitida por un especialista con formación en lingüística, español, humanidades o letras; carta de aval del director de tesis e informe de similitud textual; certificado de participación como ponente en congreso internacional; pasantía doctoral; certificado de publicación de un artículo derivado de la investigación en revista indexada; certificado oficial de dominio del idioma inglés; y cumplimiento de todos los requerimientos dentro de un plazo que no exceda los cinco años.</w:t>
      </w:r>
    </w:p>
    <w:p>
      <w:pPr>
        <w:spacing w:after="120"/>
      </w:pPr>
      <w:r>
        <w:rPr>
          <w:rFonts w:ascii="Times New Roman" w:hAnsi="Times New Roman"/>
          <w:b w:val="0"/>
          <w:sz w:val="24"/>
        </w:rPr>
        <w:t>Extensión del documento final: los lineamientos establecen que la tesis debe superar las 150 páginas, sin contar preliminares, bibliografía ni anexos.</w:t>
      </w:r>
    </w:p>
    <w:p>
      <w:pPr>
        <w:spacing w:after="120"/>
      </w:pPr>
      <w:r>
        <w:rPr>
          <w:rFonts w:ascii="Times New Roman" w:hAnsi="Times New Roman"/>
          <w:b w:val="0"/>
          <w:sz w:val="24"/>
        </w:rPr>
        <w:t>Umbral de similitud: el porcentaje máximo de similitud y de uso de inteligencia artificial permitido es del 10 %, verificado por el tutor académico con el software institucional antes de la entrega formal.</w:t>
      </w:r>
    </w:p>
    <w:p>
      <w:pPr>
        <w:spacing w:before="200" w:after="80"/>
      </w:pPr>
      <w:r>
        <w:rPr>
          <w:rFonts w:ascii="Times New Roman" w:hAnsi="Times New Roman"/>
          <w:b/>
          <w:color w:val="2E5A87"/>
          <w:sz w:val="26"/>
        </w:rPr>
        <w:t>Referencias</w:t>
      </w:r>
    </w:p>
    <w:p>
      <w:pPr>
        <w:spacing w:after="120"/>
      </w:pPr>
      <w:r>
        <w:rPr>
          <w:rFonts w:ascii="Times New Roman" w:hAnsi="Times New Roman"/>
          <w:b w:val="0"/>
          <w:sz w:val="24"/>
        </w:rPr>
        <w:t xml:space="preserve">La lista de referencias se elabora en APA, séptima edición, en orden alfabético, y comprende únicamente las fuentes efectivamente citadas. Se conservan las referencias del anteproyecto anterior, que ya fueron verificadas por DOI o por fuente institucional, y se incorporan las de los antecedentes a medida que se fichen. </w:t>
      </w:r>
      <w:r>
        <w:rPr>
          <w:rFonts w:ascii="Times New Roman" w:hAnsi="Times New Roman"/>
          <w:b w:val="0"/>
          <w:color w:val="CC0000"/>
          <w:sz w:val="24"/>
        </w:rPr>
        <w:t>〔TU VOZ: antes de entregar, coteja cada referencia contra el documento original —no contra la base de datos—, en especial los apellidos compuestos, que las bases parten mal.〕</w:t>
      </w:r>
    </w:p>
    <w:p>
      <w:pPr>
        <w:spacing w:before="200" w:after="80"/>
      </w:pPr>
      <w:r>
        <w:rPr>
          <w:rFonts w:ascii="Times New Roman" w:hAnsi="Times New Roman"/>
          <w:b/>
          <w:color w:val="2E5A87"/>
          <w:sz w:val="26"/>
        </w:rPr>
        <w:t>📌 SUSTENTACIÓN (solo para ti — borrar antes de entregar)</w:t>
      </w:r>
    </w:p>
    <w:p>
      <w:pPr>
        <w:spacing w:after="120"/>
      </w:pPr>
      <w:r>
        <w:rPr>
          <w:rFonts w:ascii="Times New Roman" w:hAnsi="Times New Roman"/>
          <w:b w:val="0"/>
          <w:sz w:val="24"/>
        </w:rPr>
        <w:t>Por qué este documento existe y en qué se diferencia del anteproyecto anterior. El anteproyecto del 3 de agosto tenía el contenido correcto pero la forma equivocada: estaba organizado en ocho secciones de nombre propio, sin resumen, sin abstract y con un título de treinta y una palabras. Los lineamientos institucionales del 26 de septiembre de 2025 fijan un capitulado exacto con numeración, exigen resumen y abstract, y limitan el título a veintiuna palabras. Este documento traslada todo el contenido al capitulado oficial y escribe lo que faltaba.</w:t>
      </w:r>
    </w:p>
    <w:p>
      <w:pPr>
        <w:spacing w:after="120"/>
      </w:pPr>
      <w:r>
        <w:rPr>
          <w:rFonts w:ascii="Times New Roman" w:hAnsi="Times New Roman"/>
          <w:b w:val="0"/>
          <w:sz w:val="24"/>
        </w:rPr>
        <w:t>Qué se agregó y no existía antes. El resumen de 250 a 300 palabras con sus palabras clave. El abstract en inglés con sus keywords. La sección de preguntas orientadoras de la delimitación, que responde una por una a las siete preguntas que exigen los lineamientos para la descripción de la problemática. Las premisas y proposiciones, que en un estudio cualitativo reemplazan a las hipótesis. El tipo de investigación declarado de manera explícita, con su fuente de información y su temporalidad. Los conceptos definidores y sensibilizadores. La matriz de categorización inicial con cuatro categorías y sus subcategorías, cada una amarrada a un propósito específico. Los criterios de elegibilidad de los informantes, con inclusión y exclusión. La descripción de los cuatro instrumentos. El procedimiento de recolección en seis etapas. Las consideraciones éticas desglosadas en confidencialidad y consentimiento informado. Y el anticipo de los capítulos IV, V y VI.</w:t>
      </w:r>
    </w:p>
    <w:p>
      <w:pPr>
        <w:spacing w:after="120"/>
      </w:pPr>
      <w:r>
        <w:rPr>
          <w:rFonts w:ascii="Times New Roman" w:hAnsi="Times New Roman"/>
          <w:b w:val="0"/>
          <w:sz w:val="24"/>
        </w:rPr>
        <w:t>Por qué el título cambió. Porque incumplía tres reglas explícitas —extensión, subtítulo y derivación del objetivo general—, y esas tres son verificables de un vistazo por cualquier evaluador. Un título fuera de norma es lo primero que se ve y lo más barato de corregir.</w:t>
      </w:r>
    </w:p>
    <w:p>
      <w:pPr>
        <w:spacing w:after="120"/>
      </w:pPr>
      <w:r>
        <w:rPr>
          <w:rFonts w:ascii="Times New Roman" w:hAnsi="Times New Roman"/>
          <w:b w:val="0"/>
          <w:sz w:val="24"/>
        </w:rPr>
        <w:t>Por qué los objetivos se llaman ahora propósitos. Porque los lineamientos reservan «objetivos» para los estudios cuantitativos y «propósitos» para los cualitativos. El contenido es el mismo; el rótulo alinea el documento con la nomenclatura institucional, que el propio documento exige mantener de manera estricta.</w:t>
      </w:r>
    </w:p>
    <w:p>
      <w:pPr>
        <w:spacing w:after="120"/>
      </w:pPr>
      <w:r>
        <w:rPr>
          <w:rFonts w:ascii="Times New Roman" w:hAnsi="Times New Roman"/>
          <w:b w:val="0"/>
          <w:sz w:val="24"/>
        </w:rPr>
        <w:t>Qué se conservó de la orientación de tu asesora. El diseño narrativo y su fundamentación; la cadena paradigma hermenéutico crítico, enfoque cualitativo, tipo comprensivo, diseño narrativo; las tres técnicas y la eliminación de fotovoz, cartografía y grupo focal; la corrección de «incider»; el criterio de saturación; y la exigencia de veinticinco antecedentes doctorales, que coincide con lo que piden los lineamientos.</w:t>
      </w:r>
    </w:p>
    <w:p>
      <w:pPr>
        <w:spacing w:after="120"/>
      </w:pPr>
      <w:r>
        <w:rPr>
          <w:rFonts w:ascii="Times New Roman" w:hAnsi="Times New Roman"/>
          <w:b w:val="0"/>
          <w:sz w:val="24"/>
        </w:rPr>
        <w:t>Qué criterios se trasladaron desde la devolución que recibió otra doctoranda de su asesor. Solo estándares metodológicos aplicables a cualquier tesis doctoral: no llenar campos de una matriz con lo que no se ha leído; declarar el flujo de búsqueda con números reales; distinguir antecedente de fundamento teórico; y describir los instrumentos antes de aplicarlos. No se trasladó ningún contenido de esa investigación: ni su objeto, ni sus autores, ni sus categorías. Es una regla y se cumple sin excepción.</w:t>
      </w:r>
    </w:p>
    <w:p>
      <w:pPr>
        <w:spacing w:after="120"/>
      </w:pPr>
      <w:r>
        <w:rPr>
          <w:rFonts w:ascii="Times New Roman" w:hAnsi="Times New Roman"/>
          <w:b w:val="0"/>
          <w:sz w:val="24"/>
        </w:rPr>
        <w:t xml:space="preserve">Lo que este documento todavía no puede resolver y depende de ti. El nombre de la institución urbana de Montería. El número definitivo de relatos por contexto. Las escenas en primera persona. El número y la fecha de la resolución del DUA. Y los datos marcados con </w:t>
      </w:r>
      <w:r>
        <w:rPr>
          <w:rFonts w:ascii="Times New Roman" w:hAnsi="Times New Roman"/>
          <w:b w:val="0"/>
          <w:color w:val="CC0000"/>
          <w:sz w:val="24"/>
        </w:rPr>
        <w:t>[VERIFICAR]</w:t>
      </w:r>
      <w:r>
        <w:rPr>
          <w:rFonts w:ascii="Times New Roman" w:hAnsi="Times New Roman"/>
          <w:b w:val="0"/>
          <w:sz w:val="24"/>
        </w:rPr>
        <w:t>, que no se afirman hasta que se confirmen.</w:t>
      </w:r>
    </w:p>
    <w:sectPr w:rsidR="00F1380C" w:rsidRPr="00DC7FFB" w:rsidSect="006B30C8">
      <w:headerReference w:type="default" r:id="rId8"/>
      <w:footerReference w:type="default" r:id="rId9"/>
      <w:pgSz w:w="12240" w:h="15840"/>
      <w:pgMar w:top="1843" w:right="720" w:bottom="720" w:left="720" w:header="454"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2C1C7" w14:textId="77777777" w:rsidR="002911F9" w:rsidRDefault="002911F9" w:rsidP="00D53AF8">
      <w:r>
        <w:separator/>
      </w:r>
    </w:p>
  </w:endnote>
  <w:endnote w:type="continuationSeparator" w:id="0">
    <w:p w14:paraId="5228B0D5" w14:textId="77777777" w:rsidR="002911F9" w:rsidRDefault="002911F9" w:rsidP="00D53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8F60D" w14:textId="77777777" w:rsidR="00D53AF8" w:rsidRPr="00D53AF8" w:rsidRDefault="00D53AF8" w:rsidP="00D53AF8">
    <w:pPr>
      <w:rPr>
        <w:rFonts w:ascii="Cambria" w:hAnsi="Cambria"/>
      </w:rPr>
    </w:pPr>
    <w:r w:rsidRPr="004120A8">
      <w:rPr>
        <w:rFonts w:ascii="Cambria" w:hAnsi="Cambria"/>
      </w:rPr>
      <w:t xml:space="preserve">  </w:t>
    </w:r>
  </w:p>
  <w:p w14:paraId="00242612" w14:textId="77777777" w:rsidR="00D53AF8" w:rsidRDefault="00D53AF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FF672" w14:textId="77777777" w:rsidR="002911F9" w:rsidRDefault="002911F9" w:rsidP="00D53AF8">
      <w:r>
        <w:separator/>
      </w:r>
    </w:p>
  </w:footnote>
  <w:footnote w:type="continuationSeparator" w:id="0">
    <w:p w14:paraId="3C76DF4E" w14:textId="77777777" w:rsidR="002911F9" w:rsidRDefault="002911F9" w:rsidP="00D53A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21789" w14:textId="3415B1F0" w:rsidR="006D3E84" w:rsidRDefault="006D3E84">
    <w:pPr>
      <w:pStyle w:val="Encabezado"/>
    </w:pPr>
    <w:r>
      <w:rPr>
        <w:noProof/>
      </w:rPr>
      <w:drawing>
        <wp:anchor distT="0" distB="0" distL="0" distR="0" simplePos="0" relativeHeight="251659264" behindDoc="1" locked="0" layoutInCell="1" allowOverlap="1" wp14:anchorId="3F5808F9" wp14:editId="7DC76100">
          <wp:simplePos x="0" y="0"/>
          <wp:positionH relativeFrom="page">
            <wp:align>right</wp:align>
          </wp:positionH>
          <wp:positionV relativeFrom="page">
            <wp:align>top</wp:align>
          </wp:positionV>
          <wp:extent cx="7772400" cy="1175285"/>
          <wp:effectExtent l="0" t="0" r="0" b="6350"/>
          <wp:wrapNone/>
          <wp:docPr id="1029628534" name="image1.png"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0411" name="image1.png" descr="A blue and black background&#10;&#10;Description automatically generated"/>
                  <pic:cNvPicPr/>
                </pic:nvPicPr>
                <pic:blipFill>
                  <a:blip r:embed="rId1" cstate="print"/>
                  <a:stretch>
                    <a:fillRect/>
                  </a:stretch>
                </pic:blipFill>
                <pic:spPr>
                  <a:xfrm>
                    <a:off x="0" y="0"/>
                    <a:ext cx="7772400" cy="11752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576BD38"/>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11163A19"/>
    <w:multiLevelType w:val="hybridMultilevel"/>
    <w:tmpl w:val="BAFE4080"/>
    <w:lvl w:ilvl="0" w:tplc="56D0047E">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A3818EA"/>
    <w:multiLevelType w:val="hybridMultilevel"/>
    <w:tmpl w:val="1EBA36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ACE58FD"/>
    <w:multiLevelType w:val="hybridMultilevel"/>
    <w:tmpl w:val="38F681C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462428852">
    <w:abstractNumId w:val="1"/>
  </w:num>
  <w:num w:numId="2" w16cid:durableId="1391155981">
    <w:abstractNumId w:val="3"/>
  </w:num>
  <w:num w:numId="3" w16cid:durableId="161513067">
    <w:abstractNumId w:val="2"/>
  </w:num>
  <w:num w:numId="4" w16cid:durableId="197403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AF8"/>
    <w:rsid w:val="0000513C"/>
    <w:rsid w:val="00014547"/>
    <w:rsid w:val="000E3C43"/>
    <w:rsid w:val="001076B7"/>
    <w:rsid w:val="00116D9E"/>
    <w:rsid w:val="00140B2C"/>
    <w:rsid w:val="001771FE"/>
    <w:rsid w:val="00195882"/>
    <w:rsid w:val="001B48AE"/>
    <w:rsid w:val="001C0AF1"/>
    <w:rsid w:val="00220166"/>
    <w:rsid w:val="002217B4"/>
    <w:rsid w:val="00233194"/>
    <w:rsid w:val="002706D6"/>
    <w:rsid w:val="00290CDC"/>
    <w:rsid w:val="002911F9"/>
    <w:rsid w:val="002F7CCC"/>
    <w:rsid w:val="00312860"/>
    <w:rsid w:val="003E1078"/>
    <w:rsid w:val="00460171"/>
    <w:rsid w:val="004A21FE"/>
    <w:rsid w:val="004E1E3A"/>
    <w:rsid w:val="005423A5"/>
    <w:rsid w:val="005A1F4C"/>
    <w:rsid w:val="005C1AEB"/>
    <w:rsid w:val="0065049A"/>
    <w:rsid w:val="0067290A"/>
    <w:rsid w:val="006B30C8"/>
    <w:rsid w:val="006D3E84"/>
    <w:rsid w:val="007332DC"/>
    <w:rsid w:val="007966BD"/>
    <w:rsid w:val="00813A8F"/>
    <w:rsid w:val="00840AB1"/>
    <w:rsid w:val="00896C0F"/>
    <w:rsid w:val="008A6DAA"/>
    <w:rsid w:val="008D6D8B"/>
    <w:rsid w:val="008F0B6D"/>
    <w:rsid w:val="00944AC6"/>
    <w:rsid w:val="00A36219"/>
    <w:rsid w:val="00A5711A"/>
    <w:rsid w:val="00A639CA"/>
    <w:rsid w:val="00B67A87"/>
    <w:rsid w:val="00B71877"/>
    <w:rsid w:val="00BA1CFA"/>
    <w:rsid w:val="00BA6352"/>
    <w:rsid w:val="00BD24B9"/>
    <w:rsid w:val="00BD3F2E"/>
    <w:rsid w:val="00BF3AAA"/>
    <w:rsid w:val="00C63E81"/>
    <w:rsid w:val="00D36430"/>
    <w:rsid w:val="00D53AF8"/>
    <w:rsid w:val="00D5566A"/>
    <w:rsid w:val="00DB7E1D"/>
    <w:rsid w:val="00DC7FFB"/>
    <w:rsid w:val="00DD2480"/>
    <w:rsid w:val="00DE0876"/>
    <w:rsid w:val="00E8550E"/>
    <w:rsid w:val="00E924D9"/>
    <w:rsid w:val="00EB3B2E"/>
    <w:rsid w:val="00EC1A20"/>
    <w:rsid w:val="00EE714A"/>
    <w:rsid w:val="00F1380C"/>
    <w:rsid w:val="00F209EC"/>
    <w:rsid w:val="00F81FF7"/>
    <w:rsid w:val="00FA0C5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1A75D"/>
  <w15:chartTrackingRefBased/>
  <w15:docId w15:val="{43582F0F-1753-4B52-8690-159ED3173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6B7"/>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53AF8"/>
    <w:pPr>
      <w:tabs>
        <w:tab w:val="center" w:pos="4419"/>
        <w:tab w:val="right" w:pos="8838"/>
      </w:tabs>
    </w:pPr>
  </w:style>
  <w:style w:type="character" w:customStyle="1" w:styleId="EncabezadoCar">
    <w:name w:val="Encabezado Car"/>
    <w:basedOn w:val="Fuentedeprrafopredeter"/>
    <w:link w:val="Encabezado"/>
    <w:rsid w:val="00D53AF8"/>
  </w:style>
  <w:style w:type="paragraph" w:styleId="Piedepgina">
    <w:name w:val="footer"/>
    <w:basedOn w:val="Normal"/>
    <w:link w:val="PiedepginaCar"/>
    <w:uiPriority w:val="99"/>
    <w:unhideWhenUsed/>
    <w:rsid w:val="00D53AF8"/>
    <w:pPr>
      <w:tabs>
        <w:tab w:val="center" w:pos="4419"/>
        <w:tab w:val="right" w:pos="8838"/>
      </w:tabs>
    </w:pPr>
  </w:style>
  <w:style w:type="character" w:customStyle="1" w:styleId="PiedepginaCar">
    <w:name w:val="Pie de página Car"/>
    <w:basedOn w:val="Fuentedeprrafopredeter"/>
    <w:link w:val="Piedepgina"/>
    <w:uiPriority w:val="99"/>
    <w:rsid w:val="00D53AF8"/>
  </w:style>
  <w:style w:type="character" w:styleId="Hipervnculo">
    <w:name w:val="Hyperlink"/>
    <w:rsid w:val="00D53AF8"/>
    <w:rPr>
      <w:color w:val="0000FF"/>
      <w:u w:val="single"/>
    </w:rPr>
  </w:style>
  <w:style w:type="character" w:styleId="Textodelmarcadordeposicin">
    <w:name w:val="Placeholder Text"/>
    <w:basedOn w:val="Fuentedeprrafopredeter"/>
    <w:uiPriority w:val="99"/>
    <w:semiHidden/>
    <w:rsid w:val="002706D6"/>
    <w:rPr>
      <w:color w:val="808080"/>
    </w:rPr>
  </w:style>
  <w:style w:type="paragraph" w:styleId="Prrafodelista">
    <w:name w:val="List Paragraph"/>
    <w:basedOn w:val="Normal"/>
    <w:uiPriority w:val="34"/>
    <w:qFormat/>
    <w:rsid w:val="00312860"/>
    <w:pPr>
      <w:ind w:left="720"/>
      <w:contextualSpacing/>
    </w:pPr>
  </w:style>
  <w:style w:type="character" w:customStyle="1" w:styleId="apple-converted-space">
    <w:name w:val="apple-converted-space"/>
    <w:basedOn w:val="Fuentedeprrafopredeter"/>
    <w:rsid w:val="00220166"/>
  </w:style>
  <w:style w:type="table" w:styleId="Tablaconcuadrcula1clara-nfasis5">
    <w:name w:val="Grid Table 1 Light Accent 5"/>
    <w:basedOn w:val="Tablanormal"/>
    <w:uiPriority w:val="46"/>
    <w:rsid w:val="005423A5"/>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Listaconvietas">
    <w:name w:val="List Bullet"/>
    <w:basedOn w:val="Normal"/>
    <w:uiPriority w:val="99"/>
    <w:unhideWhenUsed/>
    <w:rsid w:val="006B30C8"/>
    <w:pPr>
      <w:numPr>
        <w:numId w:val="4"/>
      </w:numPr>
      <w:tabs>
        <w:tab w:val="clear" w:pos="360"/>
      </w:tabs>
      <w:suppressAutoHyphens w:val="0"/>
      <w:overflowPunct/>
      <w:autoSpaceDE/>
      <w:autoSpaceDN/>
      <w:adjustRightInd/>
      <w:spacing w:after="200" w:line="276" w:lineRule="auto"/>
      <w:ind w:left="0" w:firstLine="0"/>
      <w:contextualSpacing/>
      <w:jc w:val="left"/>
      <w:textAlignment w:val="auto"/>
    </w:pPr>
    <w:rPr>
      <w:rFonts w:ascii="Arial" w:eastAsia="Arial" w:hAnsi="Arial"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9FB59-761F-46C4-87A0-28CF8C78B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0</Words>
  <Characters>4</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Hilda Ochoa</dc:creator>
  <cp:keywords/>
  <dc:description/>
  <cp:lastModifiedBy>SIGILFREDO</cp:lastModifiedBy>
  <cp:revision>3</cp:revision>
  <dcterms:created xsi:type="dcterms:W3CDTF">2026-05-30T17:08:00Z</dcterms:created>
  <dcterms:modified xsi:type="dcterms:W3CDTF">2026-05-30T17:13:00Z</dcterms:modified>
</cp:coreProperties>
</file>