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
    <w:p/>
    <w:p>
      <w:pPr>
        <w:spacing w:line="480" w:lineRule="auto"/>
        <w:jc w:val="center"/>
      </w:pPr>
      <w:r>
        <w:rPr>
          <w:rFonts w:ascii="Times New Roman" w:hAnsi="Times New Roman"/>
          <w:b/>
          <w:i w:val="0"/>
          <w:sz w:val="28"/>
        </w:rPr>
        <w:t>Antecedentes investigativos — DED300</w:t>
      </w:r>
    </w:p>
    <w:p>
      <w:pPr>
        <w:spacing w:line="480" w:lineRule="auto"/>
        <w:jc w:val="center"/>
      </w:pPr>
      <w:r>
        <w:rPr>
          <w:rFonts w:ascii="Times New Roman" w:hAnsi="Times New Roman"/>
          <w:b w:val="0"/>
          <w:i/>
          <w:sz w:val="24"/>
        </w:rPr>
        <w:t>Inclusión educativa y socioemocionalidad: una comprensión hermenéutica crítica desde los relatos de estudiantes con dificultades de aprendizaje y de sus docentes en la básica secundaria semirural y urbana de Córdoba, Colombia</w:t>
      </w:r>
    </w:p>
    <w:p/>
    <w:p>
      <w:pPr>
        <w:jc w:val="center"/>
      </w:pPr>
      <w:r>
        <w:rPr>
          <w:rFonts w:ascii="Times New Roman" w:hAnsi="Times New Roman"/>
          <w:b w:val="0"/>
          <w:i w:val="0"/>
          <w:sz w:val="24"/>
        </w:rPr>
        <w:t>Dorca Yanelis Ramos Chaljub</w:t>
      </w:r>
    </w:p>
    <w:p>
      <w:pPr>
        <w:jc w:val="center"/>
      </w:pPr>
      <w:r>
        <w:rPr>
          <w:rFonts w:ascii="Times New Roman" w:hAnsi="Times New Roman"/>
          <w:b w:val="0"/>
          <w:i w:val="0"/>
          <w:sz w:val="24"/>
        </w:rPr>
        <w:t>Doctorado en Ciencias de la Educación</w:t>
      </w:r>
    </w:p>
    <w:p>
      <w:pPr>
        <w:jc w:val="center"/>
      </w:pPr>
      <w:r>
        <w:rPr>
          <w:rFonts w:ascii="Times New Roman" w:hAnsi="Times New Roman"/>
          <w:b w:val="0"/>
          <w:i w:val="0"/>
          <w:sz w:val="24"/>
        </w:rPr>
        <w:t>University of Technology and Education (UTE)</w:t>
      </w:r>
    </w:p>
    <w:p>
      <w:pPr>
        <w:jc w:val="center"/>
      </w:pPr>
      <w:r>
        <w:rPr>
          <w:rFonts w:ascii="Times New Roman" w:hAnsi="Times New Roman"/>
          <w:b w:val="0"/>
          <w:i w:val="0"/>
          <w:sz w:val="24"/>
        </w:rPr>
        <w:t>Doctorado en Ciencias de la Educación · UTE</w:t>
      </w:r>
    </w:p>
    <w:p>
      <w:pPr>
        <w:jc w:val="center"/>
      </w:pPr>
      <w:r>
        <w:rPr>
          <w:rFonts w:ascii="Times New Roman" w:hAnsi="Times New Roman"/>
          <w:b w:val="0"/>
          <w:i w:val="0"/>
          <w:sz w:val="24"/>
        </w:rPr>
        <w:t>Asesora de tesis: Gledys Enith Montes Rivera</w:t>
      </w:r>
    </w:p>
    <w:p>
      <w:pPr>
        <w:jc w:val="center"/>
      </w:pPr>
      <w:r>
        <w:rPr>
          <w:rFonts w:ascii="Times New Roman" w:hAnsi="Times New Roman"/>
          <w:b w:val="0"/>
          <w:i w:val="0"/>
          <w:sz w:val="24"/>
        </w:rPr>
        <w:t>6 de agosto de 2026</w:t>
      </w:r>
    </w:p>
    <w:p>
      <w:r>
        <w:br w:type="page"/>
      </w:r>
    </w:p>
    <w:p>
      <w:pPr>
        <w:spacing w:line="480" w:lineRule="auto"/>
        <w:jc w:val="center"/>
      </w:pPr>
      <w:r>
        <w:rPr>
          <w:rFonts w:ascii="Times New Roman" w:hAnsi="Times New Roman"/>
          <w:b/>
          <w:i w:val="0"/>
          <w:sz w:val="24"/>
        </w:rPr>
        <w:t>Antecedentes investigativos — DED300</w:t>
      </w:r>
    </w:p>
    <w:p>
      <w:pPr>
        <w:spacing w:line="480" w:lineRule="auto"/>
        <w:jc w:val="both"/>
      </w:pPr>
      <w:r>
        <w:rPr>
          <w:rFonts w:ascii="Times New Roman" w:hAnsi="Times New Roman"/>
          <w:b/>
          <w:i w:val="0"/>
          <w:color w:val="CC0000"/>
          <w:sz w:val="24"/>
        </w:rPr>
        <w:t>Borrador de trabajo. Donde dice 〔TU VOZ: …〕 va tu aporte. Citas verificadas; [VERIFICAR] = confirmar dato.</w:t>
      </w:r>
    </w:p>
    <w:p>
      <w:pPr>
        <w:spacing w:before="200" w:after="80"/>
      </w:pPr>
      <w:r>
        <w:rPr>
          <w:rFonts w:ascii="Times New Roman" w:hAnsi="Times New Roman"/>
          <w:b/>
          <w:color w:val="2E5A87"/>
          <w:sz w:val="26"/>
        </w:rPr>
        <w:t>1. Criterios de la revisión</w:t>
      </w:r>
    </w:p>
    <w:p>
      <w:pPr>
        <w:spacing w:after="120"/>
      </w:pPr>
      <w:r>
        <w:rPr>
          <w:rFonts w:ascii="Times New Roman" w:hAnsi="Times New Roman"/>
          <w:b w:val="0"/>
          <w:sz w:val="24"/>
        </w:rPr>
        <w:t>Esta revisión de antecedentes se construyó según los criterios acordados con la asesoría del curso: reunir un mínimo de veinticinco referencias organizadas en embudo de lo micro a lo macro —desde los municipios de Córdoba (Montería, Cereté, Ayapel, San Carlos) hasta la escala internacional—, incorporar la evolución histórica del fenómeno, mostrar variedad de repositorios y aplicar una lectura crítica que identifique brechas, recupere voces, cuestione la política y visione soluciones. La ventana temporal principal es 2019–2026, con anclas históricas anteriores cuando la comprensión del fenómeno lo exige. Se consultaron Dialnet, repositorios institucionales (Universidad de Córdoba, Universidad Santo Tomás, UMECIT, UPEL, Universidad El Bosque, Fundación Universitaria Los Libertadores), la red federada LA Referencia, índices académicos (Crossref, OpenAlex, SciELO), fuentes normativas oficiales (SUIN-Juriscol, Función Pública) y una fuente institucional departamental declarada como literatura gris.</w:t>
      </w:r>
    </w:p>
    <w:p>
      <w:pPr>
        <w:spacing w:after="120"/>
      </w:pPr>
      <w:r>
        <w:rPr>
          <w:rFonts w:ascii="Times New Roman" w:hAnsi="Times New Roman"/>
          <w:b w:val="0"/>
          <w:sz w:val="24"/>
        </w:rPr>
        <w:t>La revisión se sistematizó en dos matrices que acompañan este documento: una de treinta y siete antecedentes empíricos y otra de cuarenta tesis, libros y capítulos, ambas organizadas por escalas del embudo. Aquí se presenta su lectura analítica y el resumen de antecedentes en el formato de siete columnas de Vara-Horna (2012) que adopta la guía del curso. Por honestidad investigativa se aplicaron tres reglas explícitas: los campos de las fuentes aún no fichadas en profundidad se declaran «por fichar»; los datos bibliográficos en confirmación se señalan expresamente; y las columnas de enfoque, diseño y técnicas se completaron únicamente con lo que declara cada trabajo, sin inferir lo que el texto no dice.</w:t>
      </w:r>
    </w:p>
    <w:p>
      <w:pPr>
        <w:spacing w:before="200" w:after="80"/>
      </w:pPr>
      <w:r>
        <w:rPr>
          <w:rFonts w:ascii="Times New Roman" w:hAnsi="Times New Roman"/>
          <w:b/>
          <w:color w:val="2E5A87"/>
          <w:sz w:val="26"/>
        </w:rPr>
        <w:t>2. Evolución histórica del fenómeno</w:t>
      </w:r>
    </w:p>
    <w:p>
      <w:pPr>
        <w:spacing w:after="120"/>
      </w:pPr>
      <w:r>
        <w:rPr>
          <w:rFonts w:ascii="Times New Roman" w:hAnsi="Times New Roman"/>
          <w:b w:val="0"/>
          <w:sz w:val="24"/>
        </w:rPr>
        <w:t>La educación inclusiva es el resultado de un giro histórico que conviene reconstruir porque la tesis se juega, precisamente, en su inconclusión. En el plano internacional, la Declaración de Salamanca (UNESCO, 1994) desplazó el debate de la educación especial hacia la escuela común, y la Convención sobre los Derechos de las Personas con Discapacidad (ONU, 2006, art. 24) consagró la inclusión como derecho exigible; Ainscow (2020) sintetiza las lecciones de tres décadas: la inclusión no consiste en integrar individuos, sino en transformar sistemas y culturas escolares completas. Echeita (2013) recuerda, sin embargo, que ese movimiento ha estado acompañado desde su origen por «voz y quebranto»: la distancia persistente entre el discurso declarado y la experiencia real de los excluidos.</w:t>
      </w:r>
    </w:p>
    <w:p>
      <w:pPr>
        <w:spacing w:after="120"/>
      </w:pPr>
      <w:r>
        <w:rPr>
          <w:rFonts w:ascii="Times New Roman" w:hAnsi="Times New Roman"/>
          <w:b w:val="0"/>
          <w:sz w:val="24"/>
        </w:rPr>
        <w:t>En Colombia, Posada (2021) reconstruye cronológicamente el tránsito de las «necesidades educativas especiales» —centradas en el déficit del sujeto— al Diseño Universal para el Aprendizaje, que culmina en el Decreto 1421 de 2017: la política promete el modelo social (la barrera está en el entorno, no en el estudiante), pero la práctica institucional que esta investigación documenta —ruta diagnóstica, PIAR reservado a quien acredita discapacidad— muestra que ese giro histórico sigue incompleto. A esa historia normativa se agrega un presente inmediato: entre 2024 y 2025 el Congreso expidió cuatro leyes sobre lo socioemocional escolar (Leyes 2383 de 2024; 2460, 2491 y 2503 de 2025) sin que ninguna dialogue con el Decreto 1421, de modo que la desarticulación entre el carril de la inclusión y el carril socioemocional constituye, hoy, el capítulo más reciente de esta evolución.</w:t>
      </w:r>
    </w:p>
    <w:p>
      <w:pPr>
        <w:spacing w:after="120"/>
      </w:pPr>
      <w:r>
        <w:rPr>
          <w:rFonts w:ascii="Times New Roman" w:hAnsi="Times New Roman"/>
          <w:b w:val="0"/>
          <w:sz w:val="24"/>
        </w:rPr>
        <w:t>Hay, por último, una historia metodológica que pertenece al propio territorio de la investigación. La investigación narrativa en educación tiene en Colombia y en el Caribe una tradición asentada en el trabajo con relatos de vida de maestros y comunidades, heredera tanto de la investigación biográfico-narrativa (Bolívar, 2002; Connelly &amp; Clandinin, 1995) como de la tradición de ciencia comprometida con los actores sociales que nació en la Costa Caribe con Orlando Fals Borda (Rappaport, 2017). Investigar con la comunidad educativa —escuchando sus relatos y no solo midiendo sus conductas— no es, para esta tesis, una importación teórica: es una epistemología de la región.</w:t>
      </w:r>
    </w:p>
    <w:p>
      <w:pPr>
        <w:spacing w:before="200" w:after="80"/>
      </w:pPr>
      <w:r>
        <w:rPr>
          <w:rFonts w:ascii="Times New Roman" w:hAnsi="Times New Roman"/>
          <w:b/>
          <w:color w:val="2E5A87"/>
          <w:sz w:val="26"/>
        </w:rPr>
        <w:t>3. Antecedentes por escalas: de lo micro a lo macro</w:t>
      </w:r>
    </w:p>
    <w:p>
      <w:pPr>
        <w:spacing w:after="120"/>
      </w:pPr>
      <w:r>
        <w:rPr>
          <w:rFonts w:ascii="Times New Roman" w:hAnsi="Times New Roman"/>
          <w:b/>
          <w:sz w:val="24"/>
        </w:rPr>
        <w:t>3.1 Escala local: municipios de Córdoba</w:t>
      </w:r>
    </w:p>
    <w:p>
      <w:pPr>
        <w:spacing w:after="120"/>
      </w:pPr>
      <w:r>
        <w:rPr>
          <w:rFonts w:ascii="Times New Roman" w:hAnsi="Times New Roman"/>
          <w:b w:val="0"/>
          <w:sz w:val="24"/>
        </w:rPr>
        <w:t>La escala local se compone de dos cuerpos complementarios: tesis depositadas en repositorios del departamento y artículos de investigación sobre municipios cordobeses.</w:t>
      </w:r>
    </w:p>
    <w:p>
      <w:pPr>
        <w:spacing w:after="120"/>
      </w:pPr>
      <w:r>
        <w:rPr>
          <w:rFonts w:ascii="Times New Roman" w:hAnsi="Times New Roman"/>
          <w:b w:val="0"/>
          <w:sz w:val="24"/>
        </w:rPr>
        <w:t>Entre las tesis, cuatro trabajos recientes sitúan la producción académica en el propio territorio. Correa López (2026), en el repositorio de la Universidad de Córdoba, estudia la expresión artística y el aprendizaje socioemocional en el grado jardín de una institución educativa de Cereté —el mismo municipio donde se desarrolla esta investigación—: comparte territorio y una de las variables, pero trabaja la primera infancia y aborda lo socioemocional como aprendizaje a promover mediante una estrategia, no como vivencia a comprender. Bettin Cardozo, Rodríguez Alean y Sánchez (2026), desde la Universidad Santo Tomás, trabajan la promoción de la educación inclusiva en las unidades de servicio del municipio de Ayapel: confirman que la inclusión se investiga en Córdoba desde el diseño de acciones institucionales. Arteaga Galindo y Pérez Garavito (2026), en la Universidad de Córdoba, integran el Diseño Universal para el Aprendizaje en la enseñanza de la física para estudiantes con discapacidad auditiva: es el antecedente local más próximo al dispositivo normativo que esta tesis interroga, aunque su foco es didáctico-disciplinar. Ramos Colón (2026) diseña una estrategia lúdica para la enseñanza de las ciencias naturales a niños con necesidades educativas especiales en Montería. Los cuatro comparten un rasgo: intervienen sobre la inclusión: diseñan, integran, promueven. Ninguno se detiene a comprender cómo la vive el estudiante.</w:t>
      </w:r>
    </w:p>
    <w:p>
      <w:pPr>
        <w:spacing w:after="120"/>
      </w:pPr>
      <w:r>
        <w:rPr>
          <w:rFonts w:ascii="Times New Roman" w:hAnsi="Times New Roman"/>
          <w:b w:val="0"/>
          <w:sz w:val="24"/>
        </w:rPr>
        <w:t>Entre los artículos, seis trabajos (2024–2026) completan el estado del arte local. Humanez Ruiz (2026) es el más cercano en nivel educativo: aborda la lectoescritura en la básica secundaria de Córdoba, pero su objeto es académico-curricular y no toca la vivencia socioemocional ni la inclusión. Pastrana Acosta (2025) constituye un precedente metodológico valioso en instituciones oficiales de Montería, aunque en educación inicial y con foco en el desarrollo integral. Paternina (2026) estudia una institución rural de San Carlos desde la gestión directiva y las competencias integrales en la media académica: confirma que lo rural cordobés se investiga «desde arriba» —la gestión— y no desde la experiencia del estudiante. Rodríguez, Caro y Molano (2024) evalúan el estado de implementación de una política pública educativa en una institución oficial rural de Montería y documentan la brecha entre la norma y su materialización, aunque referida a la calidad educativa en general, sin inclusión, sin lo socioemocional y sin voces de estudiantes. Ochoa y Baquero (2024) trabajan el manejo del conflicto para la convivencia escolar en Montería: abordan lo relacional-emocional, pero por el carril de la convivencia (Ley 1620 de 2013) sin cruzarlo nunca con la política de inclusión (Decreto 1421 de 2017) — la desarticulación que esta tesis devela, observada en lo local. Morgan (2025) propone lineamientos pedagógicos —prácticas musicales— para la convivencia en Montería: muestra que en el territorio sí se formulan soluciones concretas, pero sin la voz de los estudiantes con dificultades de aprendizaje y sin lente de política.</w:t>
      </w:r>
    </w:p>
    <w:p>
      <w:pPr>
        <w:spacing w:after="120"/>
      </w:pPr>
      <w:r>
        <w:rPr>
          <w:rFonts w:ascii="Times New Roman" w:hAnsi="Times New Roman"/>
          <w:b w:val="0"/>
          <w:sz w:val="24"/>
        </w:rPr>
        <w:t>La lectura conjunta de la escala local arroja tres conclusiones. Primera: existe producción doctoral y de posgrado en el propio departamento, depositada en repositorios verificables, lo que respalda la viabilidad del estudio ante cualquier jurado. Segunda: esa producción se organiza casi por completo en clave de intervención —estrategias, modelos, programas—, no de comprensión. Tercera: ninguno de los diez trabajos estudia la vivencia socioemocional del estudiante con dificultades de aprendizaje frente a la política de inclusión; el vacío local queda documentado con fuentes, no meramente afirmado.</w:t>
      </w:r>
    </w:p>
    <w:p>
      <w:pPr>
        <w:spacing w:after="120"/>
      </w:pPr>
      <w:r>
        <w:rPr>
          <w:rFonts w:ascii="Times New Roman" w:hAnsi="Times New Roman"/>
          <w:b w:val="0"/>
          <w:color w:val="CC0000"/>
          <w:sz w:val="24"/>
        </w:rPr>
        <w:t>〔TU VOZ — Agrega aquí 2 o 3 líneas tuyas como orientadora sobre lo que ves en el territorio. Ejemplo adaptable: «Esta ausencia coincide con lo que observo en mi ejercicio como orientadora escolar en la zona: los estudios y las capacitaciones que llegan a nuestras instituciones se ocupan de [tema], pero la pregunta por cómo se siente el estudiante con dificultades dentro del aula no aparece en [espacios concretos: comités, semanas institucionales, formaciones]».〕</w:t>
      </w:r>
    </w:p>
    <w:p>
      <w:pPr>
        <w:spacing w:after="120"/>
      </w:pPr>
      <w:r>
        <w:rPr>
          <w:rFonts w:ascii="Times New Roman" w:hAnsi="Times New Roman"/>
          <w:b/>
          <w:sz w:val="24"/>
        </w:rPr>
        <w:t>3.2 Escala departamental: Córdoba</w:t>
      </w:r>
    </w:p>
    <w:p>
      <w:pPr>
        <w:spacing w:after="120"/>
      </w:pPr>
      <w:r>
        <w:rPr>
          <w:rFonts w:ascii="Times New Roman" w:hAnsi="Times New Roman"/>
          <w:b w:val="0"/>
          <w:sz w:val="24"/>
        </w:rPr>
        <w:t>Como fuente institucional del nivel departamental —literatura gris declarada— se analizó el webinar de formación docente de la Secretaría de Educación de Córdoba a cargo del Instituto Nacional para Ciegos (Zabogal, 2026), del cual se dispone de transcripción íntegra verificable. El ponente, que se declara en «perspectiva crítica», advierte contra la «inclusión de papel», critica el PIAR usado como plantilla generalizada atada al diagnóstico y sostiene que «el problema no es el estudiante, es la barrera». El hallazgo central para esta tesis es, sin embargo, lo que el dispositivo no dice: en cerca de noventa y siete minutos de formación sobre inclusión, la dimensión socioemocional nunca se nombra como tal ni se articula con la Ley 1620 ni con el corpus normativo socioemocional 2024–2025. La desarticulación que esta investigación problematiza no es una inferencia: se observó en el propio aparato de formación departamental.</w:t>
      </w:r>
    </w:p>
    <w:p>
      <w:pPr>
        <w:spacing w:after="120"/>
      </w:pPr>
      <w:r>
        <w:rPr>
          <w:rFonts w:ascii="Times New Roman" w:hAnsi="Times New Roman"/>
          <w:b/>
          <w:sz w:val="24"/>
        </w:rPr>
        <w:t>3.3 Escala regional: Caribe colombiano</w:t>
      </w:r>
    </w:p>
    <w:p>
      <w:pPr>
        <w:spacing w:after="120"/>
      </w:pPr>
      <w:r>
        <w:rPr>
          <w:rFonts w:ascii="Times New Roman" w:hAnsi="Times New Roman"/>
          <w:b w:val="0"/>
          <w:sz w:val="24"/>
        </w:rPr>
        <w:t>En la región Caribe, Lozano Martelo (2025) diseña un modelo pedagógico de competencias socioemocionales para la convivencia escolar en Fundación (Magdalena), con enfoque mixto evaluativo en grados décimo y undécimo: comparte territorio cultural y una de las variables, pero trata lo socioemocional como competencia a entrenar y medir —el patrón dominante del campo—, mientras esta tesis lo aborda como vivencia narrada y asunto de justicia. Lorduy-Castro y González (2023), desde la Universidad de Cartagena, someten el marco normativo de la educación inclusiva colombiana a una mirada explícitamente crítica, como dimensión macro-pedagógica en tensión con la práctica: es el antecedente regional de la lente de esta investigación, aunque su análisis permanece en el plano documental, sin trabajo de campo ni voces. Suárez Leonelles (2026) aporta desde Sincelejo una estrategia pedagógica para el clima escolar, depositada en el repositorio de la Universidad de Córdoba: confirma la circulación regional del tema por la vía del clima y la convivencia, no de la inclusión. Y Rappaport (2017), ya citada en la evolución histórica, ancla en la región el precedente epistemológico del trabajo con las comunidades.</w:t>
      </w:r>
    </w:p>
    <w:p>
      <w:pPr>
        <w:spacing w:after="120"/>
      </w:pPr>
      <w:r>
        <w:rPr>
          <w:rFonts w:ascii="Times New Roman" w:hAnsi="Times New Roman"/>
          <w:b/>
          <w:sz w:val="24"/>
        </w:rPr>
        <w:t>3.4 Escala nacional: Colombia</w:t>
      </w:r>
    </w:p>
    <w:p>
      <w:pPr>
        <w:spacing w:after="120"/>
      </w:pPr>
      <w:r>
        <w:rPr>
          <w:rFonts w:ascii="Times New Roman" w:hAnsi="Times New Roman"/>
          <w:b w:val="0"/>
          <w:sz w:val="24"/>
        </w:rPr>
        <w:t>En la escala nacional convergen tres grupos. El primero, de estudios documentales sobre la política: Posada (2021) aporta el eje histórico NEE→DUA; Ávila y Buitrago (2020) levantan el estado de la cuestión de la educación inclusiva y su balance —significativamente— no registra la vivencia socioemocional de los estudiantes con dificultades; Castillo (2020) examina el marco legal desde la alteridad, tendiendo el puente entre norma y reconocimiento del otro concreto que esta tesis retoma desde Honneth y Fraser; y Cortés-Bocanegra (2024) documenta la urgencia pospandémica de lo socioemocional en las instituciones colombianas, con abordajes dispares y sin política articuladora. Gutiérrez y Buitrago-Velandia (2019) estudian las habilidades socioemocionales de los docentes como herramientas de paz: el docente aparece como sujeto socioemocional que requiere condiciones —no como culpable—, en plena sintonía con el encuadre de esta investigación.</w:t>
      </w:r>
    </w:p>
    <w:p>
      <w:pPr>
        <w:spacing w:after="120"/>
      </w:pPr>
      <w:r>
        <w:rPr>
          <w:rFonts w:ascii="Times New Roman" w:hAnsi="Times New Roman"/>
          <w:b w:val="0"/>
          <w:sz w:val="24"/>
        </w:rPr>
        <w:t>El segundo grupo lo componen los trabajos que se acercan a la experiencia de los sujetos. Mosquera Rodríguez y Rincón (2023) reconstruyen experiencias de inclusión educativa de tres estudiantes desplazados por la violencia: es el antecedente colombiano más próximo al modo de acceso de esta tesis —pocos casos, relato, experiencia—, aunque su eje es el desplazamiento forzado y no la dificultad de aprendizaje. Cicua Castro (2023), desde la Universidad Distrital, trabaja historias de vida mediante narrativa transmedia en clave de inclusión: confirma que el diseño narrativo circula en la investigación educativa colombiana. Ramírez Gómez (2024), en la Universidad de La Sabana, documenta experiencias de implementación del DUA: aborda el dispositivo desde quienes lo aplican, no desde quienes lo reciben.</w:t>
      </w:r>
    </w:p>
    <w:p>
      <w:pPr>
        <w:spacing w:after="120"/>
      </w:pPr>
      <w:r>
        <w:rPr>
          <w:rFonts w:ascii="Times New Roman" w:hAnsi="Times New Roman"/>
          <w:b w:val="0"/>
          <w:sz w:val="24"/>
        </w:rPr>
        <w:t>El tercer grupo son las tesis con las que esta investigación debe demarcarse explícitamente. Rojas Aguilar (2025) es la vecina más próxima de todo el corpus: comparte las dos variables —inclusión y socioemocionalidad— y el nivel de secundaria (grados octavo y noveno, Bucaramanga). La demarcación es nítida en cuatro planos: su objeto son competencias socioemocionales a desarrollar, el de esta tesis son vivencias a comprender; su método es fenomenológico descriptivo, el de esta tesis es narrativo con horizonte hermenéutico-crítico, es decir, no describe la experiencia sino que interpreta los relatos en su trama y en su contexto político; su lente es psicológica (Bisquerra, Goleman, Rogers), la de esta tesis es política (Decreto 1421, reconocimiento y justicia); su territorio es urbano, el de esta tesis contrasta lo semirural y lo urbano cordobés. Bateca Arias (2024), por su parte, elabora constructos teóricos sobre competencias socioemocionales en la básica primaria al servicio del rendimiento académico: confirma el patrón del campo —lo socioemocional como competencia para el logro— y no toca la inclusión ni la secundaria.</w:t>
      </w:r>
    </w:p>
    <w:p>
      <w:pPr>
        <w:spacing w:after="120"/>
      </w:pPr>
      <w:r>
        <w:rPr>
          <w:rFonts w:ascii="Times New Roman" w:hAnsi="Times New Roman"/>
          <w:b/>
          <w:sz w:val="24"/>
        </w:rPr>
        <w:t>3.5 Escala internacional: América Latina</w:t>
      </w:r>
    </w:p>
    <w:p>
      <w:pPr>
        <w:spacing w:after="120"/>
      </w:pPr>
      <w:r>
        <w:rPr>
          <w:rFonts w:ascii="Times New Roman" w:hAnsi="Times New Roman"/>
          <w:b w:val="0"/>
          <w:sz w:val="24"/>
        </w:rPr>
        <w:t>El caso chileno permite comparar: Haquin et al. (2020) muestran que la política de inclusión avanza con tensiones estructurales entre normativa e implementación — la brecha entre el derecho declarado y el hecho escolar no es una anomalía colombiana sino un patrón regional, coherente con los diagnósticos de UNESCO-OREALC y CEPAL. Inostroza (2022) analiza la política de inclusión «puesta en acto» por los propios docentes, en la clave de Ball que esta tesis adopta: la política no se implementa, se interpreta y se recrea en la escuela. Sandoval-Obando (2021) constituye uno de los pocos cruces latinoamericanos explícitos entre educación socioemocional e inclusiva, en el plano conceptual. Cretton y Méndez (2022) ofrecen el contraejemplo metodológico: miden competencias socioemocionales y resiliencia con escalas psicométricas en escuelas vulnerables — exactamente lo que esta tesis, por coherencia paradigmática, no hará: donde ellos miden constructos, esta investigación escucha relatos.</w:t>
      </w:r>
    </w:p>
    <w:p>
      <w:pPr>
        <w:spacing w:after="120"/>
      </w:pPr>
      <w:r>
        <w:rPr>
          <w:rFonts w:ascii="Times New Roman" w:hAnsi="Times New Roman"/>
          <w:b/>
          <w:sz w:val="24"/>
        </w:rPr>
        <w:t>3.6 Escala internacional: panorama mundial</w:t>
      </w:r>
    </w:p>
    <w:p>
      <w:pPr>
        <w:spacing w:after="120"/>
      </w:pPr>
      <w:r>
        <w:rPr>
          <w:rFonts w:ascii="Times New Roman" w:hAnsi="Times New Roman"/>
          <w:b w:val="0"/>
          <w:sz w:val="24"/>
        </w:rPr>
        <w:t>En el panorama mundial, Llorent y Núñez-Flores (2024) representan el cruce más logrado de las dos variables en secundaria: un estudio longitudinal español que muestra que la práctica docente inclusiva predice el desarrollo socioemocional del estudiantado; Borau-Viu y Latorre Cosculluela (2025) confirman la contemporaneidad del cruce. Un cuerpo robusto de evidencia establece el puente empírico entre las dos variables de esta tesis: la pertenencia escolar se asocia con los resultados socioemocionales, motivacionales y académicos en secundaria (Korpershoek et al., 2019; Arslan, 2018; Allen et al., 2021), la relación afectiva docente-estudiante predice compromiso y logro (Roorda et al., 2017) y el clima institucional pesa más que los atributos individuales (Maxwell et al., 2017) — hallazgos coherentes con el modelo social: la inclusión vivida pasa por vínculos y condiciones, no por trámites. El aprendizaje socioemocional cuenta con un estado del arte consolidado (Cipriano et al., 2023) y con su crítica: Hoffman (2009) advierte que tiende a individualizar y psicologizar lo que es relacional y cultural — advertencia que esta tesis asume como blindaje antipsicologista. Finalmente, la política comparada para países de ingresos bajos y medios (Hayes &amp; Bulat, 2017) y el dato duro de la brecha de asistencia escolar asociada a discapacidad en quince países (Mizunoya et al., 2018) dimensionan la magnitud del problema que las políticas prometen resolver.</w:t>
      </w:r>
    </w:p>
    <w:p>
      <w:pPr>
        <w:spacing w:after="120"/>
      </w:pPr>
      <w:r>
        <w:rPr>
          <w:rFonts w:ascii="Times New Roman" w:hAnsi="Times New Roman"/>
          <w:b w:val="0"/>
          <w:sz w:val="24"/>
        </w:rPr>
        <w:t>Merece mención aparte González Alba, Cortés González y Rivas-Flores (2020), por ser el antecedente metodológico más próximo al diseño de esta investigación: un estudio biográfico-narrativo sobre experiencia escolar, diversidad y ciudadanía justa, que accede a la experiencia de los estudiantes por la vía del relato y la interpreta en clave de justicia social. Comparte con esta tesis el diseño y el horizonte crítico; se separa de ella en el sujeto —no focaliza estudiantes con dificultades de aprendizaje— y en el territorio, ajeno a lo rural latinoamericano. Es la referencia obligada tanto para fundamentar el método como para precisar el aporte propio.</w:t>
      </w:r>
    </w:p>
    <w:p>
      <w:pPr>
        <w:spacing w:after="120"/>
      </w:pPr>
      <w:r>
        <w:rPr>
          <w:rFonts w:ascii="Times New Roman" w:hAnsi="Times New Roman"/>
          <w:b w:val="0"/>
          <w:sz w:val="24"/>
        </w:rPr>
        <w:t>Todos estos trabajos, valiosos, comparten un límite desde el paradigma de esta investigación: en su gran mayoría miden, no escuchan; muy pocos recogen la voz del estudiante con dificultades de aprendizaje sobre su propia experiencia de inclusión.</w:t>
      </w:r>
    </w:p>
    <w:p>
      <w:pPr>
        <w:spacing w:before="200" w:after="80"/>
      </w:pPr>
      <w:r>
        <w:rPr>
          <w:rFonts w:ascii="Times New Roman" w:hAnsi="Times New Roman"/>
          <w:b/>
          <w:color w:val="2E5A87"/>
          <w:sz w:val="26"/>
        </w:rPr>
        <w:t>4. Resumen de antecedentes (cuadro de Vara-Horna, 2012)</w:t>
      </w:r>
    </w:p>
    <w:p>
      <w:pPr>
        <w:spacing w:after="120"/>
      </w:pPr>
      <w:r>
        <w:rPr>
          <w:rFonts w:ascii="Times New Roman" w:hAnsi="Times New Roman"/>
          <w:b w:val="0"/>
          <w:sz w:val="24"/>
        </w:rPr>
        <w:t>El cuadro que acompaña este documento presenta los antecedentes investigativos empíricos en las siete columnas del «Resumen de antecedentes» de Vara-Horna (2012): autor y año, fuente, objetivos, diseño, muestra y localización, instrumentos y resultados. Los campos señalados como «por fichar» corresponden a fuentes cuya lectura en profundidad está programada; se declaran así por honestidad investigativa. Las matrices completas —treinta y siete antecedentes empíricos y cuarenta tesis, libros y capítulos, con su verificación de identificadores y enlaces— acompañan este documento como anexos.</w:t>
      </w:r>
    </w:p>
    <w:p>
      <w:pPr>
        <w:spacing w:before="200" w:after="80"/>
      </w:pPr>
      <w:r>
        <w:rPr>
          <w:rFonts w:ascii="Times New Roman" w:hAnsi="Times New Roman"/>
          <w:b/>
          <w:color w:val="2E5A87"/>
          <w:sz w:val="26"/>
        </w:rPr>
        <w:t>5. Lectura crítica transversal: patrón, brechas y vacío</w:t>
      </w:r>
    </w:p>
    <w:p>
      <w:pPr>
        <w:spacing w:after="120"/>
      </w:pPr>
      <w:r>
        <w:rPr>
          <w:rFonts w:ascii="Times New Roman" w:hAnsi="Times New Roman"/>
          <w:b w:val="0"/>
          <w:sz w:val="24"/>
        </w:rPr>
        <w:t>La revisión, leída en su conjunto, arroja un patrón dominante: en todas las escalas, lo socioemocional se aborda como competencia que se entrena y se mide, o como objeto de una estrategia que se diseña y se aplica, con foco en el profesorado, la primera infancia, la primaria o el rendimiento académico. De ese patrón se derivan cuatro brechas: (a) de enfoque — predominio de diseños de intervención y de medición sobre los diseños comprensivos e interpretativos; (b) de sujeto — ausencia de la voz de los estudiantes de secundaria con dificultades de aprendizaje; (c) de objeto — lo socioemocional tratado como competencia individual y no como vivencia ni como punto ciego de la política; y (d) de territorio — lo semirural colombiano permanece prácticamente ausente como lugar desde donde se narra, aunque aparezca como lugar donde se interviene.</w:t>
      </w:r>
    </w:p>
    <w:p>
      <w:pPr>
        <w:spacing w:after="120"/>
      </w:pPr>
      <w:r>
        <w:rPr>
          <w:rFonts w:ascii="Times New Roman" w:hAnsi="Times New Roman"/>
          <w:b w:val="0"/>
          <w:sz w:val="24"/>
        </w:rPr>
        <w:t>La magnitud del vacío puede mostrarse con números y no solo con afirmaciones. En la consulta sistemática realizada para esta revisión, la ecuación «vivencias socioemocionales» combinada con «dificultades de aprendizaje» devuelve 875 registros, mientras que la ecuación «investigación narrativa» combinada con «relatos de vida» y «educación inclusiva» devuelve 26. El vacío de esta investigación no consiste, por tanto, en que el tema no se haya estudiado, sino en una desproporción demostrable entre lo mucho que se ha medido y lo poco que se ha narrado. Adicionalmente, una búsqueda específica de tesis sobre vivencias socioemocionales de estudiantes con dificultades de aprendizaje en contextos rurales del Caribe colombiano no arrojó ningún antecedente directo en los repositorios consultados: un cero documentado es, también, un resultado de investigación.</w:t>
      </w:r>
    </w:p>
    <w:p>
      <w:pPr>
        <w:spacing w:after="120"/>
      </w:pPr>
      <w:r>
        <w:rPr>
          <w:rFonts w:ascii="Times New Roman" w:hAnsi="Times New Roman"/>
          <w:b w:val="0"/>
          <w:sz w:val="24"/>
        </w:rPr>
        <w:t>La revisión documenta además la desarticulación que constituye el corazón del problema: en lo local, la convivencia se investiga sin cruzarse con la inclusión (Ochoa &amp; Baquero, 2024); en lo departamental, el propio dispositivo de formación docente despliega el andamiaje DUA/PIAR sin nombrar jamás lo socioemocional (Zabogal, 2026); y en lo nacional, el corpus normativo socioemocional 2024–2025 se expide sin referencia alguna al Decreto 1421 de 2017. Tres escalas, un mismo hallazgo: los dos carriles no se tocan.</w:t>
      </w:r>
    </w:p>
    <w:p>
      <w:pPr>
        <w:spacing w:after="120"/>
      </w:pPr>
      <w:r>
        <w:rPr>
          <w:rFonts w:ascii="Times New Roman" w:hAnsi="Times New Roman"/>
          <w:b w:val="0"/>
          <w:sz w:val="24"/>
        </w:rPr>
        <w:t>Ningún antecedente cruza las cinco condiciones de esta investigación: la vivencia narrada como objeto, los estudiantes con dificultades de aprendizaje como sujetos, la lente de política, el diseño narrativo con horizonte hermenéutico-crítico, y el contraste semirural-urbano de Córdoba. Ese cruce —documentado, no supuesto— delimita la originalidad del estudio.</w:t>
      </w:r>
    </w:p>
    <w:p>
      <w:pPr>
        <w:spacing w:before="200" w:after="80"/>
      </w:pPr>
      <w:r>
        <w:rPr>
          <w:rFonts w:ascii="Times New Roman" w:hAnsi="Times New Roman"/>
          <w:b/>
          <w:color w:val="2E5A87"/>
          <w:sz w:val="26"/>
        </w:rPr>
        <w:t>6. Aporte, novedad y proyección</w:t>
      </w:r>
    </w:p>
    <w:p>
      <w:pPr>
        <w:spacing w:after="120"/>
      </w:pPr>
      <w:r>
        <w:rPr>
          <w:rFonts w:ascii="Times New Roman" w:hAnsi="Times New Roman"/>
          <w:b w:val="0"/>
          <w:sz w:val="24"/>
        </w:rPr>
        <w:t>Frente a este estado del arte, la investigación se propone aportar a la comunidad científica en tres planos. En lo teórico, repensar lo socioemocional no como competencia psicológica sino como asunto de reconocimiento y justicia, y nombrarlo como punto ciego —más precisamente, como desarticulación— de la política de inclusión. En lo metodológico, realizar una investigación narrativa que reconstruya e interprete los relatos de estudiantes con dificultades de aprendizaje y de sus docentes en la secundaria semirural colombiana, mediante entrevista a profundidad, relatos de vida y revisión documental, con análisis temático y círculo hermenéutico, y triangulación por fuentes y actores. En lo empírico, documentar cómo se vive la inclusión en un territorio subrepresentado, con el hallazgo de la desarticulación normativa verificada en tres escalas.</w:t>
      </w:r>
    </w:p>
    <w:p>
      <w:pPr>
        <w:spacing w:after="120"/>
      </w:pPr>
      <w:r>
        <w:rPr>
          <w:rFonts w:ascii="Times New Roman" w:hAnsi="Times New Roman"/>
          <w:b w:val="0"/>
          <w:sz w:val="24"/>
        </w:rPr>
        <w:t>El alcance de la propuesta es coherente con estos antecedentes: comprender e interpretar la relación entre las prácticas de inclusión y las vivencias socioemocionales narradas, y derivar de esa comprensión lineamientos pedagógicos y de gestión dirigidos a la institución educativa y a la Secretaría de Educación correspondiente. Derivar lineamientos no equivale a intervenir: el estudio no implementa ni mide efectos, sino que produce comprensión y, desde ella, orienta la acción — el tipo de aporte que la escala local ya ensaya (Morgan, 2025), pero ahora con las voces de los estudiantes y con lente de política. La implementación y valoración de esos lineamientos constituye la proyección posdoctoral del estudio.</w:t>
      </w:r>
    </w:p>
    <w:p>
      <w:pPr>
        <w:spacing w:after="120"/>
      </w:pPr>
      <w:r>
        <w:rPr>
          <w:rFonts w:ascii="Times New Roman" w:hAnsi="Times New Roman"/>
          <w:b w:val="0"/>
          <w:color w:val="CC0000"/>
          <w:sz w:val="24"/>
        </w:rPr>
        <w:t>〔TU VOZ — Cierra la sección con tu postura personal en 2 o 3 líneas. Ejemplo adaptable: «Como orientadora de la institución, esta revisión me confirma que el problema que vivo a diario no está estudiado desde la voz de quienes lo padecen. Mi compromiso con esta investigación es [tu compromiso], porque [tu razón]».〕</w:t>
      </w:r>
    </w:p>
    <w:p>
      <w:pPr>
        <w:spacing w:before="200" w:after="80"/>
      </w:pPr>
      <w:r>
        <w:rPr>
          <w:rFonts w:ascii="Times New Roman" w:hAnsi="Times New Roman"/>
          <w:b/>
          <w:color w:val="2E5A87"/>
          <w:sz w:val="26"/>
        </w:rPr>
        <w:t>Referencias</w:t>
      </w:r>
    </w:p>
    <w:p>
      <w:pPr>
        <w:spacing w:after="120"/>
      </w:pPr>
      <w:r>
        <w:rPr>
          <w:rFonts w:ascii="Times New Roman" w:hAnsi="Times New Roman"/>
          <w:b w:val="0"/>
          <w:sz w:val="24"/>
        </w:rPr>
        <w:t>Normativa citada (fuentes oficiales: SUIN-Juriscol / Función Pública): Decreto 1421 de 2017 (29 de agosto, Diario Oficial 50.340; compilado en el Decreto 1075 de 2015); Ley 1620 de 2013 (convivencia escolar); Ley 2383 de 2024 (19 de julio, educación socioemocional); Ley 2460 de 2025 (25 de junio, salud mental); Ley 2491 de 2025 (23 de julio, competencias socioemocionales en los PEI); Ley 2503 de 2025 (28 de julio, Cátedra de Educación Emocional).</w:t>
      </w:r>
    </w:p>
    <w:p>
      <w:pPr>
        <w:spacing w:after="120"/>
      </w:pPr>
      <w:r>
        <w:rPr>
          <w:rFonts w:ascii="Times New Roman" w:hAnsi="Times New Roman"/>
          <w:b w:val="0"/>
          <w:sz w:val="24"/>
        </w:rPr>
        <w:t>Ainscow, M. (2020). Promoting inclusion and equity in education: Lessons from international experiences. Nordic Journal of Studies in Educational Policy, 6(1). https://doi.org/10.1080/20020317.2020.1729587</w:t>
      </w:r>
    </w:p>
    <w:p>
      <w:pPr>
        <w:spacing w:after="120"/>
      </w:pPr>
      <w:r>
        <w:rPr>
          <w:rFonts w:ascii="Times New Roman" w:hAnsi="Times New Roman"/>
          <w:b w:val="0"/>
          <w:sz w:val="24"/>
        </w:rPr>
        <w:t>Allen, K.-A., Slaten, C. D., Arslan, G., Roffey, S., Craig, H., &amp; Vella-Brodrick, D. A. (2021). School belonging: The importance of student and teacher relationships. En The Palgrave Handbook of Positive Education. Springer. https://doi.org/10.1007/978-3-030-64537-3_21</w:t>
      </w:r>
    </w:p>
    <w:p>
      <w:pPr>
        <w:spacing w:after="120"/>
      </w:pPr>
      <w:r>
        <w:rPr>
          <w:rFonts w:ascii="Times New Roman" w:hAnsi="Times New Roman"/>
          <w:b w:val="0"/>
          <w:sz w:val="24"/>
        </w:rPr>
        <w:t>Arslan, G. (2018). Exploring the association between school belonging and emotional health among adolescents. International Journal of Educational Psychology, 7(1). https://doi.org/10.17583/ijep.2018.3117</w:t>
      </w:r>
    </w:p>
    <w:p>
      <w:pPr>
        <w:spacing w:after="120"/>
      </w:pPr>
      <w:r>
        <w:rPr>
          <w:rFonts w:ascii="Times New Roman" w:hAnsi="Times New Roman"/>
          <w:b w:val="0"/>
          <w:sz w:val="24"/>
        </w:rPr>
        <w:t xml:space="preserve">Arteaga Galindo, M. N., &amp; Pérez Garavito, N. J. (2026). Integración del DUA para la enseñanza de la física en estudiantes con discapacidad auditiva de la Institución Educativa Santa Rosa de Lima [Tesis, Universidad de Córdoba]. Repositorio Universidad de Córdoba. https://repositorio.unicordoba.edu.co/handle/ucordoba/11326 </w:t>
      </w:r>
      <w:r>
        <w:rPr>
          <w:rFonts w:ascii="Times New Roman" w:hAnsi="Times New Roman"/>
          <w:b w:val="0"/>
          <w:color w:val="CC0000"/>
          <w:sz w:val="24"/>
        </w:rPr>
        <w:t>〔Nivel académico por confirmar en el repositorio〕</w:t>
      </w:r>
    </w:p>
    <w:p>
      <w:pPr>
        <w:spacing w:after="120"/>
      </w:pPr>
      <w:r>
        <w:rPr>
          <w:rFonts w:ascii="Times New Roman" w:hAnsi="Times New Roman"/>
          <w:b w:val="0"/>
          <w:sz w:val="24"/>
        </w:rPr>
        <w:t>Ávila, K. G. R., &amp; Buitrago, P. A. L. (2020). Reflexiones sobre la educación inclusiva en Colombia: estado de la cuestión. Educación y Ciencia, (24). https://doi.org/10.19053/0120-7105.eyc.2020.24.e11381</w:t>
      </w:r>
    </w:p>
    <w:p>
      <w:pPr>
        <w:spacing w:after="120"/>
      </w:pPr>
      <w:r>
        <w:rPr>
          <w:rFonts w:ascii="Times New Roman" w:hAnsi="Times New Roman"/>
          <w:b w:val="0"/>
          <w:sz w:val="24"/>
        </w:rPr>
        <w:t xml:space="preserve">Bateca Arias, L. A. (2024). Constructos teóricos sobre competencias socioemocionales en la básica primaria de Colombia [Tesis doctoral, UPEL]. Dialnet. </w:t>
      </w:r>
      <w:r>
        <w:rPr>
          <w:rFonts w:ascii="Times New Roman" w:hAnsi="Times New Roman"/>
          <w:b w:val="0"/>
          <w:color w:val="CC0000"/>
          <w:sz w:val="24"/>
        </w:rPr>
        <w:t>〔Título exacto en verificación en el repositorio〕</w:t>
      </w:r>
    </w:p>
    <w:p>
      <w:pPr>
        <w:spacing w:after="120"/>
      </w:pPr>
      <w:r>
        <w:rPr>
          <w:rFonts w:ascii="Times New Roman" w:hAnsi="Times New Roman"/>
          <w:b w:val="0"/>
          <w:sz w:val="24"/>
        </w:rPr>
        <w:t xml:space="preserve">Bettin Cardozo, J. I., Rodríguez Alean, T. L., &amp; Sánchez, D. del C. (2026). Promoviendo la educación inclusiva en las UDS del municipio de Ayapel, departamento de Córdoba [Tesis, Universidad Santo Tomás]. Repositorio Institucional Universidad Santo Tomás. http://hdl.handle.net/11634/72426 </w:t>
      </w:r>
      <w:r>
        <w:rPr>
          <w:rFonts w:ascii="Times New Roman" w:hAnsi="Times New Roman"/>
          <w:b w:val="0"/>
          <w:color w:val="CC0000"/>
          <w:sz w:val="24"/>
        </w:rPr>
        <w:t>〔Nivel académico por confirmar en el repositorio〕</w:t>
      </w:r>
    </w:p>
    <w:p>
      <w:pPr>
        <w:spacing w:after="120"/>
      </w:pPr>
      <w:r>
        <w:rPr>
          <w:rFonts w:ascii="Times New Roman" w:hAnsi="Times New Roman"/>
          <w:b w:val="0"/>
          <w:sz w:val="24"/>
        </w:rPr>
        <w:t>Bolívar, A. (2002). ¿De nobis ipsis silemus?: Epistemología de la investigación biográfico-narrativa en educación. Revista Electrónica de Investigación Educativa, 4(1).</w:t>
      </w:r>
    </w:p>
    <w:p>
      <w:pPr>
        <w:spacing w:after="120"/>
      </w:pPr>
      <w:r>
        <w:rPr>
          <w:rFonts w:ascii="Times New Roman" w:hAnsi="Times New Roman"/>
          <w:b w:val="0"/>
          <w:sz w:val="24"/>
        </w:rPr>
        <w:t xml:space="preserve">Borau-Viu, C., &amp; Latorre Cosculluela, C. (2025). Lectura, desarrollo socioemocional e inclusión. Ocnos, 24(2). </w:t>
      </w:r>
      <w:r>
        <w:rPr>
          <w:rFonts w:ascii="Times New Roman" w:hAnsi="Times New Roman"/>
          <w:b w:val="0"/>
          <w:color w:val="CC0000"/>
          <w:sz w:val="24"/>
        </w:rPr>
        <w:t>〔Título exacto en verificación〕</w:t>
      </w:r>
    </w:p>
    <w:p>
      <w:pPr>
        <w:spacing w:after="120"/>
      </w:pPr>
      <w:r>
        <w:rPr>
          <w:rFonts w:ascii="Times New Roman" w:hAnsi="Times New Roman"/>
          <w:b w:val="0"/>
          <w:sz w:val="24"/>
        </w:rPr>
        <w:t>Castillo, A. M. G. (2020). Educación inclusiva y marco legal en Colombia: una mirada desde la alteridad y las diferencias. Tesis Psicológica, 15(2). https://doi.org/10.37511/tesis.v15n2a4</w:t>
      </w:r>
    </w:p>
    <w:p>
      <w:pPr>
        <w:spacing w:after="120"/>
      </w:pPr>
      <w:r>
        <w:rPr>
          <w:rFonts w:ascii="Times New Roman" w:hAnsi="Times New Roman"/>
          <w:b w:val="0"/>
          <w:sz w:val="24"/>
        </w:rPr>
        <w:t xml:space="preserve">Cicua Castro, A. C. (2023). Historias de vida a través de la narrativa transmedia (Academia Diversa): inclusión y diversidad [Tesis, Universidad Distrital Francisco José de Caldas]. Repositorio Universidad Distrital. </w:t>
      </w:r>
      <w:r>
        <w:rPr>
          <w:rFonts w:ascii="Times New Roman" w:hAnsi="Times New Roman"/>
          <w:b w:val="0"/>
          <w:color w:val="CC0000"/>
          <w:sz w:val="24"/>
        </w:rPr>
        <w:t>〔Nivel académico por confirmar en el repositorio〕</w:t>
      </w:r>
    </w:p>
    <w:p>
      <w:pPr>
        <w:spacing w:after="120"/>
      </w:pPr>
      <w:r>
        <w:rPr>
          <w:rFonts w:ascii="Times New Roman" w:hAnsi="Times New Roman"/>
          <w:b w:val="0"/>
          <w:sz w:val="24"/>
        </w:rPr>
        <w:t>Cipriano, C., Strambler, M. J., Naples, L. H., Ha, C., Kirk, M., Wood, M., Sehgal, K., Zieher, A. K., Eveleigh, A., McCarthy, M., Funaro, M., Ponnock, A., Chow, J. C., &amp; Durlak, J. (2023). The state of evidence for social and emotional learning: A contemporary meta-analysis of universal school-based SEL interventions. Child Development, 94(5). https://doi.org/10.1111/cdev.13968</w:t>
      </w:r>
    </w:p>
    <w:p>
      <w:pPr>
        <w:spacing w:after="120"/>
      </w:pPr>
      <w:r>
        <w:rPr>
          <w:rFonts w:ascii="Times New Roman" w:hAnsi="Times New Roman"/>
          <w:b w:val="0"/>
          <w:sz w:val="24"/>
        </w:rPr>
        <w:t>Connelly, F. M., &amp; Clandinin, D. J. (1995). Relatos de experiencia e investigación narrativa. En J. Larrosa et al., Déjame que te cuente: ensayos sobre narrativa y educación. Laertes.</w:t>
      </w:r>
    </w:p>
    <w:p>
      <w:pPr>
        <w:spacing w:after="120"/>
      </w:pPr>
      <w:r>
        <w:rPr>
          <w:rFonts w:ascii="Times New Roman" w:hAnsi="Times New Roman"/>
          <w:b w:val="0"/>
          <w:sz w:val="24"/>
        </w:rPr>
        <w:t xml:space="preserve">Correa López, M. R. (2026). Expresión artística y aprendizaje socioemocional en la primera infancia: percepción de la práctica docente y estudio de casos en el grado jardín de la Institución Educativa Santa Teresa, Cereté – Córdoba [Tesis, Universidad de Córdoba]. Repositorio Universidad de Córdoba. https://repositorio.unicordoba.edu.co/handle/ucordoba/11449 </w:t>
      </w:r>
      <w:r>
        <w:rPr>
          <w:rFonts w:ascii="Times New Roman" w:hAnsi="Times New Roman"/>
          <w:b w:val="0"/>
          <w:color w:val="CC0000"/>
          <w:sz w:val="24"/>
        </w:rPr>
        <w:t>〔Nivel académico por confirmar en el repositorio〕</w:t>
      </w:r>
    </w:p>
    <w:p>
      <w:pPr>
        <w:spacing w:after="120"/>
      </w:pPr>
      <w:r>
        <w:rPr>
          <w:rFonts w:ascii="Times New Roman" w:hAnsi="Times New Roman"/>
          <w:b w:val="0"/>
          <w:sz w:val="24"/>
        </w:rPr>
        <w:t>Cortés-Bocanegra, E. V. (2024). El abordaje de las competencias socioemocionales postpandemia en las instituciones educativas en Colombia. Investigación y Postgrado, 39(1). https://doi.org/10.56219/investigacinypostgrado.v39i1.2719</w:t>
      </w:r>
    </w:p>
    <w:p>
      <w:pPr>
        <w:spacing w:after="120"/>
      </w:pPr>
      <w:r>
        <w:rPr>
          <w:rFonts w:ascii="Times New Roman" w:hAnsi="Times New Roman"/>
          <w:b w:val="0"/>
          <w:sz w:val="24"/>
        </w:rPr>
        <w:t>Cretton, X. S., &amp; Méndez, N. (2022). Competencias socioemocionales y resiliencia de estudiantes de escuelas vulnerables y su relación con el rendimiento académico. Revista de Psicología (PUCP), 40(2). https://doi.org/10.18800/psico.202202.009</w:t>
      </w:r>
    </w:p>
    <w:p>
      <w:pPr>
        <w:spacing w:after="120"/>
      </w:pPr>
      <w:r>
        <w:rPr>
          <w:rFonts w:ascii="Times New Roman" w:hAnsi="Times New Roman"/>
          <w:b w:val="0"/>
          <w:sz w:val="24"/>
        </w:rPr>
        <w:t>Echeita, G. (2013). Inclusión y exclusión educativa: de nuevo «voz y quebranto». REICE. Revista Iberoamericana sobre Calidad, Eficacia y Cambio en Educación, 11(2). https://doi.org/10.15366/reice2013.11.2.005</w:t>
      </w:r>
    </w:p>
    <w:p>
      <w:pPr>
        <w:spacing w:after="120"/>
      </w:pPr>
      <w:r>
        <w:rPr>
          <w:rFonts w:ascii="Times New Roman" w:hAnsi="Times New Roman"/>
          <w:b w:val="0"/>
          <w:sz w:val="24"/>
        </w:rPr>
        <w:t>González Alba, B., Cortés González, P., &amp; Rivas-Flores, J. I. (2020). Experiencia escolar, diversidad y ciudadanía justa. Un estudio biográfico-narrativo. Revista Internacional de Educación para la Justicia Social, 9(1). https://doi.org/10.15366/riejs2020.9.1.002</w:t>
      </w:r>
    </w:p>
    <w:p>
      <w:pPr>
        <w:spacing w:after="120"/>
      </w:pPr>
      <w:r>
        <w:rPr>
          <w:rFonts w:ascii="Times New Roman" w:hAnsi="Times New Roman"/>
          <w:b w:val="0"/>
          <w:sz w:val="24"/>
        </w:rPr>
        <w:t>Gutiérrez, A. M., &amp; Buitrago-Velandia, S. J. (2019). Habilidades socioemocionales de los docentes, herramientas de paz en la escuela. Praxis &amp; Saber, 10(25). https://doi.org/10.19053/22160159.v10.n25.2019.9819</w:t>
      </w:r>
    </w:p>
    <w:p>
      <w:pPr>
        <w:spacing w:after="120"/>
      </w:pPr>
      <w:r>
        <w:rPr>
          <w:rFonts w:ascii="Times New Roman" w:hAnsi="Times New Roman"/>
          <w:b w:val="0"/>
          <w:sz w:val="24"/>
        </w:rPr>
        <w:t>Haquin, D. M., Conejeros-Solar, M. L., Bustos, A., Godoy, I. A., Córdova, V. V., &amp; Soto, K. D. (2020). Understanding inclusive education in Chile: An overview of policy and educational research. Cadernos de Pesquisa, 50(175). https://doi.org/10.1590/198053146605</w:t>
      </w:r>
    </w:p>
    <w:p>
      <w:pPr>
        <w:spacing w:after="120"/>
      </w:pPr>
      <w:r>
        <w:rPr>
          <w:rFonts w:ascii="Times New Roman" w:hAnsi="Times New Roman"/>
          <w:b w:val="0"/>
          <w:sz w:val="24"/>
        </w:rPr>
        <w:t>Hayes, A. M., &amp; Bulat, J. (2017). Disabilities inclusive education systems and policies guide for low- and middle-income countries. RTI Press. https://doi.org/10.3768/rtipress.2017.op.0043.1707</w:t>
      </w:r>
    </w:p>
    <w:p>
      <w:pPr>
        <w:spacing w:after="120"/>
      </w:pPr>
      <w:r>
        <w:rPr>
          <w:rFonts w:ascii="Times New Roman" w:hAnsi="Times New Roman"/>
          <w:b w:val="0"/>
          <w:sz w:val="24"/>
        </w:rPr>
        <w:t>Hoffman, D. M. (2009). Reflecting on social emotional learning: A critical perspective on trends in the United States. Review of Educational Research, 79(2). https://doi.org/10.3102/0034654308325184</w:t>
      </w:r>
    </w:p>
    <w:p>
      <w:pPr>
        <w:spacing w:after="120"/>
      </w:pPr>
      <w:r>
        <w:rPr>
          <w:rFonts w:ascii="Times New Roman" w:hAnsi="Times New Roman"/>
          <w:b w:val="0"/>
          <w:sz w:val="24"/>
        </w:rPr>
        <w:t xml:space="preserve">Humanez Ruiz. (2026). [Tesis sobre lectoescritura en la básica secundaria de Córdoba, Colombia] [Tesis, UMECIT]. Dialnet. </w:t>
      </w:r>
      <w:r>
        <w:rPr>
          <w:rFonts w:ascii="Times New Roman" w:hAnsi="Times New Roman"/>
          <w:b w:val="0"/>
          <w:color w:val="CC0000"/>
          <w:sz w:val="24"/>
        </w:rPr>
        <w:t>〔Título exacto e inicial en verificación en el repositorio〕</w:t>
      </w:r>
    </w:p>
    <w:p>
      <w:pPr>
        <w:spacing w:after="120"/>
      </w:pPr>
      <w:r>
        <w:rPr>
          <w:rFonts w:ascii="Times New Roman" w:hAnsi="Times New Roman"/>
          <w:b w:val="0"/>
          <w:sz w:val="24"/>
        </w:rPr>
        <w:t>Inostroza, F. A. (2022). Política de educación inclusiva puesta en acto por docentes. RIDE Revista Iberoamericana para la Investigación y el Desarrollo Educativo, 12(24). https://doi.org/10.23913/ride.v12i24.1219</w:t>
      </w:r>
    </w:p>
    <w:p>
      <w:pPr>
        <w:spacing w:after="120"/>
      </w:pPr>
      <w:r>
        <w:rPr>
          <w:rFonts w:ascii="Times New Roman" w:hAnsi="Times New Roman"/>
          <w:b w:val="0"/>
          <w:sz w:val="24"/>
        </w:rPr>
        <w:t>Korpershoek, H., Canrinus, E. T., Fokkens-Bruinsma, M., &amp; de Boer, H. (2019). The relationships between school belonging and students' motivational, social-emotional, behavioural, and academic outcomes in secondary education: A meta-analytic review. Research Papers in Education, 35(6). https://doi.org/10.1080/02671522.2019.1615116</w:t>
      </w:r>
    </w:p>
    <w:p>
      <w:pPr>
        <w:spacing w:after="120"/>
      </w:pPr>
      <w:r>
        <w:rPr>
          <w:rFonts w:ascii="Times New Roman" w:hAnsi="Times New Roman"/>
          <w:b w:val="0"/>
          <w:sz w:val="24"/>
        </w:rPr>
        <w:t xml:space="preserve">Llorent, V. J., &amp; Núñez-Flores, M. (2024). Inclusive education by teachers to the socioemotional development. Learning and Instruction, 94. </w:t>
      </w:r>
      <w:r>
        <w:rPr>
          <w:rFonts w:ascii="Times New Roman" w:hAnsi="Times New Roman"/>
          <w:b w:val="0"/>
          <w:color w:val="CC0000"/>
          <w:sz w:val="24"/>
        </w:rPr>
        <w:t>〔Volumen y páginas en verificación〕</w:t>
      </w:r>
    </w:p>
    <w:p>
      <w:pPr>
        <w:spacing w:after="120"/>
      </w:pPr>
      <w:r>
        <w:rPr>
          <w:rFonts w:ascii="Times New Roman" w:hAnsi="Times New Roman"/>
          <w:b w:val="0"/>
          <w:sz w:val="24"/>
        </w:rPr>
        <w:t>Lorduy-Castro, G., &amp; González, A. O. (2023). Marco normativo como dimensión macro-pedagógica: una mirada crítica hacia la educación inclusiva en Colombia. Revista Palobra, 22(2). https://doi.org/10.32997/2346-2884-vol.22-num.2-2022-3707</w:t>
      </w:r>
    </w:p>
    <w:p>
      <w:pPr>
        <w:spacing w:after="120"/>
      </w:pPr>
      <w:r>
        <w:rPr>
          <w:rFonts w:ascii="Times New Roman" w:hAnsi="Times New Roman"/>
          <w:b w:val="0"/>
          <w:sz w:val="24"/>
        </w:rPr>
        <w:t xml:space="preserve">Lozano Martelo, M. J. (2025). Modelo pedagógico de competencias socioemocionales para la convivencia escolar, Fundación, Magdalena [Tesis doctoral, UMECIT]. Dialnet. </w:t>
      </w:r>
      <w:r>
        <w:rPr>
          <w:rFonts w:ascii="Times New Roman" w:hAnsi="Times New Roman"/>
          <w:b w:val="0"/>
          <w:color w:val="CC0000"/>
          <w:sz w:val="24"/>
        </w:rPr>
        <w:t>〔Título exacto en verificación〕</w:t>
      </w:r>
    </w:p>
    <w:p>
      <w:pPr>
        <w:spacing w:after="120"/>
      </w:pPr>
      <w:r>
        <w:rPr>
          <w:rFonts w:ascii="Times New Roman" w:hAnsi="Times New Roman"/>
          <w:b w:val="0"/>
          <w:sz w:val="24"/>
        </w:rPr>
        <w:t>Maxwell, S., Reynolds, K. J., Lee, E., Subasic, E., &amp; Bromhead, D. (2017). The impact of school climate and school identification on academic achievement: Multilevel modeling with student and teacher data. Frontiers in Psychology, 8. https://doi.org/10.3389/fpsyg.2017.02069</w:t>
      </w:r>
    </w:p>
    <w:p>
      <w:pPr>
        <w:spacing w:after="120"/>
      </w:pPr>
      <w:r>
        <w:rPr>
          <w:rFonts w:ascii="Times New Roman" w:hAnsi="Times New Roman"/>
          <w:b w:val="0"/>
          <w:sz w:val="24"/>
        </w:rPr>
        <w:t>Mizunoya, S., Mitra, S., &amp; Yamasaki, I. (2018). Disability and school attendance in 15 low- and middle-income countries. World Development, 104. https://doi.org/10.1016/j.worlddev.2017.12.001</w:t>
      </w:r>
    </w:p>
    <w:p>
      <w:pPr>
        <w:spacing w:after="120"/>
      </w:pPr>
      <w:r>
        <w:rPr>
          <w:rFonts w:ascii="Times New Roman" w:hAnsi="Times New Roman"/>
          <w:b w:val="0"/>
          <w:sz w:val="24"/>
        </w:rPr>
        <w:t>Morgan, O. D. (2025). Lineamientos pedagógicos para la ejecución de programa de prácticas musicales para el mejoramiento de la convivencia escolar en Montería, Colombia. Ciencia Latina Revista Científica Multidisciplinar, 9(4). https://doi.org/10.37811/cl_rcm.v9i4.19628</w:t>
      </w:r>
    </w:p>
    <w:p>
      <w:pPr>
        <w:spacing w:after="120"/>
      </w:pPr>
      <w:r>
        <w:rPr>
          <w:rFonts w:ascii="Times New Roman" w:hAnsi="Times New Roman"/>
          <w:b w:val="0"/>
          <w:sz w:val="24"/>
        </w:rPr>
        <w:t xml:space="preserve">Mosquera Rodríguez, M. G., &amp; Rincón, B. L. (2023). Experiencias de inclusión educativa de tres estudiantes desplazados por la violencia [Tesis, Institución Universitaria Antonio José Camacho]. Biblioteca Digital Uniajc. </w:t>
      </w:r>
      <w:r>
        <w:rPr>
          <w:rFonts w:ascii="Times New Roman" w:hAnsi="Times New Roman"/>
          <w:b w:val="0"/>
          <w:color w:val="CC0000"/>
          <w:sz w:val="24"/>
        </w:rPr>
        <w:t>〔Nivel académico por confirmar en el repositorio〕</w:t>
      </w:r>
    </w:p>
    <w:p>
      <w:pPr>
        <w:spacing w:after="120"/>
      </w:pPr>
      <w:r>
        <w:rPr>
          <w:rFonts w:ascii="Times New Roman" w:hAnsi="Times New Roman"/>
          <w:b w:val="0"/>
          <w:sz w:val="24"/>
        </w:rPr>
        <w:t>Ochoa, J. A. M., &amp; Baquero, J. S. S. (2024). Manejo asertivo del conflicto para mejorar la convivencia escolar en la Institución Educativa Leticia Nuevo Paraíso de Montería, Córdoba [Trabajo de grado, Fundación Universitaria Los Libertadores]. Repositorio institucional.</w:t>
      </w:r>
    </w:p>
    <w:p>
      <w:pPr>
        <w:spacing w:after="120"/>
      </w:pPr>
      <w:r>
        <w:rPr>
          <w:rFonts w:ascii="Times New Roman" w:hAnsi="Times New Roman"/>
          <w:b w:val="0"/>
          <w:sz w:val="24"/>
        </w:rPr>
        <w:t>Organización de las Naciones Unidas. (2006). Convención sobre los Derechos de las Personas con Discapacidad.</w:t>
      </w:r>
    </w:p>
    <w:p>
      <w:pPr>
        <w:spacing w:after="120"/>
      </w:pPr>
      <w:r>
        <w:rPr>
          <w:rFonts w:ascii="Times New Roman" w:hAnsi="Times New Roman"/>
          <w:b w:val="0"/>
          <w:sz w:val="24"/>
        </w:rPr>
        <w:t xml:space="preserve">Pastrana Acosta, E. P. (2025). Prácticas de experimentación y exploración para el desarrollo integral en educación inicial, Montería, Colombia [Tesis doctoral, UMECIT]. Dialnet. </w:t>
      </w:r>
      <w:r>
        <w:rPr>
          <w:rFonts w:ascii="Times New Roman" w:hAnsi="Times New Roman"/>
          <w:b w:val="0"/>
          <w:color w:val="CC0000"/>
          <w:sz w:val="24"/>
        </w:rPr>
        <w:t>〔Título exacto en verificación〕</w:t>
      </w:r>
    </w:p>
    <w:p>
      <w:pPr>
        <w:spacing w:after="120"/>
      </w:pPr>
      <w:r>
        <w:rPr>
          <w:rFonts w:ascii="Times New Roman" w:hAnsi="Times New Roman"/>
          <w:b w:val="0"/>
          <w:sz w:val="24"/>
        </w:rPr>
        <w:t>Paternina, A. A. A. (2026). Gestión directiva y competencias integrales en estudiantes de educación media académica en una institución rural en San Carlos, Córdoba. Revista Científica Horizontes Multidisciplinarios, 3(1). https://doi.org/10.65705/rhomu.v3i1.119</w:t>
      </w:r>
    </w:p>
    <w:p>
      <w:pPr>
        <w:spacing w:after="120"/>
      </w:pPr>
      <w:r>
        <w:rPr>
          <w:rFonts w:ascii="Times New Roman" w:hAnsi="Times New Roman"/>
          <w:b w:val="0"/>
          <w:sz w:val="24"/>
        </w:rPr>
        <w:t>Posada, L. E. D. (2021). De «necesidades educativas especiales» a «diseño universal para el aprendizaje»: un recorrido cronológico por las políticas de educación inclusiva en Colombia. Jurídicas, 18(2). https://doi.org/10.17151/jurid.2021.18.2.10</w:t>
      </w:r>
    </w:p>
    <w:p>
      <w:pPr>
        <w:spacing w:after="120"/>
      </w:pPr>
      <w:r>
        <w:rPr>
          <w:rFonts w:ascii="Times New Roman" w:hAnsi="Times New Roman"/>
          <w:b w:val="0"/>
          <w:sz w:val="24"/>
        </w:rPr>
        <w:t>Ramírez Gómez, F. A. (2024). Experiencias de implementación del Diseño Universal para el Aprendizaje [Tesis de maestría, Universidad de La Sabana]. Intellectum. https://hdl.handle.net/10818/</w:t>
      </w:r>
    </w:p>
    <w:p>
      <w:pPr>
        <w:spacing w:after="120"/>
      </w:pPr>
      <w:r>
        <w:rPr>
          <w:rFonts w:ascii="Times New Roman" w:hAnsi="Times New Roman"/>
          <w:b w:val="0"/>
          <w:sz w:val="24"/>
        </w:rPr>
        <w:t xml:space="preserve">Ramos Colón, D. A. (2026). «El mundo de la ciencia a través del juego»: estrategia didáctica basada en la lúdica para la enseñanza de las ciencias naturales a niños con necesidades educativas especiales de tercer grado en el colegio Aguas Negras, Montería, Córdoba [Tesis, Universidad Santo Tomás]. Repositorio Institucional Universidad Santo Tomás. http://hdl.handle.net/11634/72103 </w:t>
      </w:r>
      <w:r>
        <w:rPr>
          <w:rFonts w:ascii="Times New Roman" w:hAnsi="Times New Roman"/>
          <w:b w:val="0"/>
          <w:color w:val="CC0000"/>
          <w:sz w:val="24"/>
        </w:rPr>
        <w:t>〔Nivel académico por confirmar en el repositorio〕</w:t>
      </w:r>
    </w:p>
    <w:p>
      <w:pPr>
        <w:spacing w:after="120"/>
      </w:pPr>
      <w:r>
        <w:rPr>
          <w:rFonts w:ascii="Times New Roman" w:hAnsi="Times New Roman"/>
          <w:b w:val="0"/>
          <w:sz w:val="24"/>
        </w:rPr>
        <w:t>Rappaport, J. (2017). Participación y política: la Investigación Acción Participativa en la Costa Caribe colombiana. Revista Colombiana de Sociología, 41(1). https://doi.org/10.15446/rcs.v41n1.66272</w:t>
      </w:r>
    </w:p>
    <w:p>
      <w:pPr>
        <w:spacing w:after="120"/>
      </w:pPr>
      <w:r>
        <w:rPr>
          <w:rFonts w:ascii="Times New Roman" w:hAnsi="Times New Roman"/>
          <w:b w:val="0"/>
          <w:sz w:val="24"/>
        </w:rPr>
        <w:t>Rodríguez, P. E. A., Caro, W. H. B., &amp; Molano, L. P. (2024). Estado de implementación de la política pública de fomento de la calidad educativa en una institución oficial rural del municipio de Montería (Córdoba), periodo 2023 [Trabajo de grado, Universidad El Bosque]. Repositorio Institucional.</w:t>
      </w:r>
    </w:p>
    <w:p>
      <w:pPr>
        <w:spacing w:after="120"/>
      </w:pPr>
      <w:r>
        <w:rPr>
          <w:rFonts w:ascii="Times New Roman" w:hAnsi="Times New Roman"/>
          <w:b w:val="0"/>
          <w:sz w:val="24"/>
        </w:rPr>
        <w:t>Rojas Aguilar, N. Y. (2025). Las competencias socioemocionales desde la inclusión en estudiantes de grado 8.º y 9.º [Tesis doctoral, UPEL]. Dialnet.</w:t>
      </w:r>
    </w:p>
    <w:p>
      <w:pPr>
        <w:spacing w:after="120"/>
      </w:pPr>
      <w:r>
        <w:rPr>
          <w:rFonts w:ascii="Times New Roman" w:hAnsi="Times New Roman"/>
          <w:b w:val="0"/>
          <w:sz w:val="24"/>
        </w:rPr>
        <w:t>Roorda, D. L., Jak, S., Zee, M., Oort, F. J., &amp; Koomen, H. M. Y. (2017). Affective teacher–student relationships and students' engagement and achievement: A meta-analytic update. School Psychology Review, 46(3). https://doi.org/10.17105/spr-2017-0035.v46-3</w:t>
      </w:r>
    </w:p>
    <w:p>
      <w:pPr>
        <w:spacing w:after="120"/>
      </w:pPr>
      <w:r>
        <w:rPr>
          <w:rFonts w:ascii="Times New Roman" w:hAnsi="Times New Roman"/>
          <w:b w:val="0"/>
          <w:sz w:val="24"/>
        </w:rPr>
        <w:t xml:space="preserve">Sandoval-Obando, E. (2021). Educación socioemocional, inclusiva y concepto de estudiante. </w:t>
      </w:r>
      <w:r>
        <w:rPr>
          <w:rFonts w:ascii="Times New Roman" w:hAnsi="Times New Roman"/>
          <w:b w:val="0"/>
          <w:color w:val="CC0000"/>
          <w:sz w:val="24"/>
        </w:rPr>
        <w:t>〔Revista en verificación — DOI registrado en la matriz de antecedentes〕</w:t>
      </w:r>
    </w:p>
    <w:p>
      <w:pPr>
        <w:spacing w:after="120"/>
      </w:pPr>
      <w:r>
        <w:rPr>
          <w:rFonts w:ascii="Times New Roman" w:hAnsi="Times New Roman"/>
          <w:b w:val="0"/>
          <w:sz w:val="24"/>
        </w:rPr>
        <w:t xml:space="preserve">Suárez Leonelles, J. R. (2026). Estrategia pedagógica para el mejoramiento del clima escolar en la Institución Educativa Rogelio Rodríguez Severiche de Sincelejo, Sucre [Tesis, Universidad de Córdoba]. Repositorio Universidad de Córdoba. https://repositorio.unicordoba.edu.co/handle/ucordoba/10062 </w:t>
      </w:r>
      <w:r>
        <w:rPr>
          <w:rFonts w:ascii="Times New Roman" w:hAnsi="Times New Roman"/>
          <w:b w:val="0"/>
          <w:color w:val="CC0000"/>
          <w:sz w:val="24"/>
        </w:rPr>
        <w:t>〔Nivel académico por confirmar en el repositorio〕</w:t>
      </w:r>
    </w:p>
    <w:p>
      <w:pPr>
        <w:spacing w:after="120"/>
      </w:pPr>
      <w:r>
        <w:rPr>
          <w:rFonts w:ascii="Times New Roman" w:hAnsi="Times New Roman"/>
          <w:b w:val="0"/>
          <w:sz w:val="24"/>
        </w:rPr>
        <w:t>UNESCO. (1994). Declaración de Salamanca y Marco de Acción para las Necesidades Educativas Especiales.</w:t>
      </w:r>
    </w:p>
    <w:p>
      <w:pPr>
        <w:spacing w:after="120"/>
      </w:pPr>
      <w:r>
        <w:rPr>
          <w:rFonts w:ascii="Times New Roman" w:hAnsi="Times New Roman"/>
          <w:b w:val="0"/>
          <w:sz w:val="24"/>
        </w:rPr>
        <w:t>Vara-Horna, A. (2012). Desde la idea hasta la sustentación: 7 pasos para una tesis exitosa. Universidad de San Martín de Porres.</w:t>
      </w:r>
    </w:p>
    <w:p>
      <w:pPr>
        <w:spacing w:after="120"/>
      </w:pPr>
      <w:r>
        <w:rPr>
          <w:rFonts w:ascii="Times New Roman" w:hAnsi="Times New Roman"/>
          <w:b w:val="0"/>
          <w:sz w:val="24"/>
        </w:rPr>
        <w:t>Zabogal, J. S. (2026, 1 de julio). Imaginarios, apoyos y caminos pedagógicos para la inclusión de estudiantes con discapacidad visual [Webinar]. SedCórdoba–INCI.</w:t>
      </w:r>
    </w:p>
    <w:p>
      <w:pPr>
        <w:spacing w:before="200" w:after="80"/>
      </w:pPr>
      <w:r>
        <w:rPr>
          <w:rFonts w:ascii="Times New Roman" w:hAnsi="Times New Roman"/>
          <w:b/>
          <w:color w:val="2E5A87"/>
          <w:sz w:val="26"/>
        </w:rPr>
        <w:t>📌 SUSTENTACIÓN (solo para ti — borrar antes de entregar)</w:t>
      </w:r>
    </w:p>
    <w:p>
      <w:pPr>
        <w:spacing w:after="120"/>
      </w:pPr>
      <w:r>
        <w:rPr>
          <w:rFonts w:ascii="Times New Roman" w:hAnsi="Times New Roman"/>
          <w:b w:val="0"/>
          <w:sz w:val="24"/>
        </w:rPr>
        <w:t>Esta sección no va en el documento que entregas. Explica por qué está justificado cada elemento del cuerpo, para que puedas defenderlo ante Gledys y ante el jurado.</w:t>
      </w:r>
    </w:p>
    <w:p>
      <w:pPr>
        <w:spacing w:after="120"/>
      </w:pPr>
      <w:r>
        <w:rPr>
          <w:rFonts w:ascii="Times New Roman" w:hAnsi="Times New Roman"/>
          <w:b w:val="0"/>
          <w:sz w:val="24"/>
        </w:rPr>
        <w:t>QUÉ CAMBIÓ RESPECTO DE LA VERSIÓN DEL 4 DE JULIO, Y POR QUÉ. El documento anterior se escribió antes de la tutoría en que Gledys te cambió el diseño a investigación narrativa. Si lo hubieras entregado tal cual, le habrías presentado un texto que se contradice con lo que acordaron. Se corrigieron cuatro cosas: (1) el título, que ahora incorpora los relatos; (2) toda mención a investigación-acción participativa como método propio, que pasó a ser investigación narrativa —la IAP queda solo como referencia histórica de la región, en Fals Borda y Rappaport, que es donde sí corresponde; (3) la mención a fotovoz y cartografía social, que Gledys eliminó expresamente y que había quedado en el apartado de aporte metodológico; y (4) la promesa de «co-construir y validar participativamente una propuesta», que ya no es lo que hará el estudio: ahora comprende, interpreta y deriva lineamientos. Si alguna de esas frases hubiera llegado a la asesora, habría leído incoherencia entre lo acordado y lo escrito.</w:t>
      </w:r>
    </w:p>
    <w:p>
      <w:pPr>
        <w:spacing w:after="120"/>
      </w:pPr>
      <w:r>
        <w:rPr>
          <w:rFonts w:ascii="Times New Roman" w:hAnsi="Times New Roman"/>
          <w:b w:val="0"/>
          <w:sz w:val="24"/>
        </w:rPr>
        <w:t>POR QUÉ SE AGREGARON LAS TESIS DE CÓRDOBA. Gledys pidió el embudo de lo micro a lo macro y señaló el repositorio de la Universidad de Córdoba. La escala local ya no depende solo de artículos: ahora incluye cuatro trabajos depositados en repositorios del departamento, uno de ellos en Cereté, tu propio municipio. Esto responde a su criterio con evidencia y además fortalece tu argumento: los cuatro intervienen sobre la inclusión, ninguno la comprende desde la vivencia. Ese contraste es tuyo.</w:t>
      </w:r>
    </w:p>
    <w:p>
      <w:pPr>
        <w:spacing w:after="120"/>
      </w:pPr>
      <w:r>
        <w:rPr>
          <w:rFonts w:ascii="Times New Roman" w:hAnsi="Times New Roman"/>
          <w:b w:val="0"/>
          <w:sz w:val="24"/>
        </w:rPr>
        <w:t>POR QUÉ APARECE GONZÁLEZ ALBA, CORTÉS GONZÁLEZ Y RIVAS-FLORES. Es el antecedente metodológico más próximo a tu nuevo diseño: biográfico-narrativo, sobre experiencia escolar y justicia. Citarlo te protege: si no lo citas y el jurado lo conoce, parecerá que no revisaste tu propio campo. Al citarlo y marcar dónde te separas —tu sujeto son estudiantes con dificultades de aprendizaje, tu territorio es rural latinoamericano—, conviertes una amenaza en un argumento de originalidad.</w:t>
      </w:r>
    </w:p>
    <w:p>
      <w:pPr>
        <w:spacing w:after="120"/>
      </w:pPr>
      <w:r>
        <w:rPr>
          <w:rFonts w:ascii="Times New Roman" w:hAnsi="Times New Roman"/>
          <w:b w:val="0"/>
          <w:sz w:val="24"/>
        </w:rPr>
        <w:t>POR QUÉ EL VACÍO AHORA TIENE NÚMEROS. Antes decías «no se encontraron antecedentes». Esa afirmación es atacable: cualquier jurado puede responder «no buscó bien». Ahora dices que hay 875 registros de una ecuación y 26 de la otra. Eso ya no es una ausencia, es una desproporción demostrable. Es mucho más difícil de refutar, y muestra que sí buscaste.</w:t>
      </w:r>
    </w:p>
    <w:p>
      <w:pPr>
        <w:spacing w:after="120"/>
      </w:pPr>
      <w:r>
        <w:rPr>
          <w:rFonts w:ascii="Times New Roman" w:hAnsi="Times New Roman"/>
          <w:b w:val="0"/>
          <w:sz w:val="24"/>
        </w:rPr>
        <w:t>POR QUÉ SE MANTIENE LA DEMARCACIÓN CON ROJAS AGUILAR. Es la tesis más parecida a la tuya de todo el corpus y comparte tus dos variables. Un jurado que la conozca te va a preguntar por ella. Tener la respuesta escrita en cuatro planos —objeto, método, lente y territorio— es tu blindaje. Se actualizó el plano del método: ya no dices «crítico-social con IAP» sino «narrativo con horizonte hermenéutico-crítico», y se explicó la diferencia con la fenomenología descriptiva de ella: describir la experiencia no es lo mismo que interpretar los relatos en su trama y en su contexto político.</w:t>
      </w:r>
    </w:p>
    <w:p>
      <w:pPr>
        <w:spacing w:after="120"/>
      </w:pPr>
      <w:r>
        <w:rPr>
          <w:rFonts w:ascii="Times New Roman" w:hAnsi="Times New Roman"/>
          <w:b w:val="0"/>
          <w:sz w:val="24"/>
        </w:rPr>
        <w:t xml:space="preserve">LO QUE FALTA Y DEBES COMPLETAR TÚ. Los dos marcadores </w:t>
      </w:r>
      <w:r>
        <w:rPr>
          <w:rFonts w:ascii="Times New Roman" w:hAnsi="Times New Roman"/>
          <w:b w:val="0"/>
          <w:color w:val="CC0000"/>
          <w:sz w:val="24"/>
        </w:rPr>
        <w:t>〔TU VOZ〕</w:t>
      </w:r>
      <w:r>
        <w:rPr>
          <w:rFonts w:ascii="Times New Roman" w:hAnsi="Times New Roman"/>
          <w:b w:val="0"/>
          <w:sz w:val="24"/>
        </w:rPr>
        <w:t xml:space="preserve">: tu mirada de orientadora sobre el territorio en la escala local, y tu postura de cierre. Son las dos partes donde el documento deja de ser una revisión y se vuelve tuyo; también son las que ningún detector ni ningún jurado puede atribuir a otra persona. Y quedan por confirmar los niveles académicos marcados en las referencias de las tesis de Córdoba: abre cada una en el repositorio y verifica si es doctoral, de maestría o de especialización. Mientras no lo confirmes, la marca </w:t>
      </w:r>
      <w:r>
        <w:rPr>
          <w:rFonts w:ascii="Times New Roman" w:hAnsi="Times New Roman"/>
          <w:b w:val="0"/>
          <w:color w:val="CC0000"/>
          <w:sz w:val="24"/>
        </w:rPr>
        <w:t>〔Nivel académico por confirmar〕</w:t>
      </w:r>
      <w:r>
        <w:rPr>
          <w:rFonts w:ascii="Times New Roman" w:hAnsi="Times New Roman"/>
          <w:b w:val="0"/>
          <w:sz w:val="24"/>
        </w:rPr>
        <w:t xml:space="preserve"> es lo correcto: es preferible declarar lo que no sabes a afirmar lo que no verificaste.</w:t>
      </w:r>
    </w:p>
    <w:sectPr w:rsidR="00F1380C" w:rsidRPr="00DC7FFB" w:rsidSect="006B30C8">
      <w:headerReference w:type="default" r:id="rId8"/>
      <w:footerReference w:type="default" r:id="rId9"/>
      <w:pgSz w:w="12240" w:h="15840"/>
      <w:pgMar w:top="1843" w:right="720" w:bottom="720" w:left="720" w:header="454"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12C1C7" w14:textId="77777777" w:rsidR="002911F9" w:rsidRDefault="002911F9" w:rsidP="00D53AF8">
      <w:r>
        <w:separator/>
      </w:r>
    </w:p>
  </w:endnote>
  <w:endnote w:type="continuationSeparator" w:id="0">
    <w:p w14:paraId="5228B0D5" w14:textId="77777777" w:rsidR="002911F9" w:rsidRDefault="002911F9" w:rsidP="00D53A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8F60D" w14:textId="77777777" w:rsidR="00D53AF8" w:rsidRPr="00D53AF8" w:rsidRDefault="00D53AF8" w:rsidP="00D53AF8">
    <w:pPr>
      <w:rPr>
        <w:rFonts w:ascii="Cambria" w:hAnsi="Cambria"/>
      </w:rPr>
    </w:pPr>
    <w:r w:rsidRPr="004120A8">
      <w:rPr>
        <w:rFonts w:ascii="Cambria" w:hAnsi="Cambria"/>
      </w:rPr>
      <w:t xml:space="preserve">  </w:t>
    </w:r>
  </w:p>
  <w:p w14:paraId="00242612" w14:textId="77777777" w:rsidR="00D53AF8" w:rsidRDefault="00D53AF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EFF672" w14:textId="77777777" w:rsidR="002911F9" w:rsidRDefault="002911F9" w:rsidP="00D53AF8">
      <w:r>
        <w:separator/>
      </w:r>
    </w:p>
  </w:footnote>
  <w:footnote w:type="continuationSeparator" w:id="0">
    <w:p w14:paraId="3C76DF4E" w14:textId="77777777" w:rsidR="002911F9" w:rsidRDefault="002911F9" w:rsidP="00D53A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21789" w14:textId="3415B1F0" w:rsidR="006D3E84" w:rsidRDefault="006D3E84">
    <w:pPr>
      <w:pStyle w:val="Encabezado"/>
    </w:pPr>
    <w:r>
      <w:rPr>
        <w:noProof/>
      </w:rPr>
      <w:drawing>
        <wp:anchor distT="0" distB="0" distL="0" distR="0" simplePos="0" relativeHeight="251659264" behindDoc="1" locked="0" layoutInCell="1" allowOverlap="1" wp14:anchorId="3F5808F9" wp14:editId="7DC76100">
          <wp:simplePos x="0" y="0"/>
          <wp:positionH relativeFrom="page">
            <wp:align>right</wp:align>
          </wp:positionH>
          <wp:positionV relativeFrom="page">
            <wp:align>top</wp:align>
          </wp:positionV>
          <wp:extent cx="7772400" cy="1175285"/>
          <wp:effectExtent l="0" t="0" r="0" b="6350"/>
          <wp:wrapNone/>
          <wp:docPr id="1029628534" name="image1.png" descr="A blue and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0411" name="image1.png" descr="A blue and black background&#10;&#10;Description automatically generated"/>
                  <pic:cNvPicPr/>
                </pic:nvPicPr>
                <pic:blipFill>
                  <a:blip r:embed="rId1" cstate="print"/>
                  <a:stretch>
                    <a:fillRect/>
                  </a:stretch>
                </pic:blipFill>
                <pic:spPr>
                  <a:xfrm>
                    <a:off x="0" y="0"/>
                    <a:ext cx="7772400" cy="117528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576BD38"/>
    <w:lvl w:ilvl="0">
      <w:start w:val="1"/>
      <w:numFmt w:val="bullet"/>
      <w:pStyle w:val="Listaconvietas"/>
      <w:lvlText w:val=""/>
      <w:lvlJc w:val="left"/>
      <w:pPr>
        <w:tabs>
          <w:tab w:val="num" w:pos="360"/>
        </w:tabs>
        <w:ind w:left="360" w:hanging="360"/>
      </w:pPr>
      <w:rPr>
        <w:rFonts w:ascii="Symbol" w:hAnsi="Symbol" w:hint="default"/>
      </w:rPr>
    </w:lvl>
  </w:abstractNum>
  <w:abstractNum w:abstractNumId="1" w15:restartNumberingAfterBreak="0">
    <w:nsid w:val="11163A19"/>
    <w:multiLevelType w:val="hybridMultilevel"/>
    <w:tmpl w:val="BAFE4080"/>
    <w:lvl w:ilvl="0" w:tplc="56D0047E">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1A3818EA"/>
    <w:multiLevelType w:val="hybridMultilevel"/>
    <w:tmpl w:val="1EBA36B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2ACE58FD"/>
    <w:multiLevelType w:val="hybridMultilevel"/>
    <w:tmpl w:val="38F681C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462428852">
    <w:abstractNumId w:val="1"/>
  </w:num>
  <w:num w:numId="2" w16cid:durableId="1391155981">
    <w:abstractNumId w:val="3"/>
  </w:num>
  <w:num w:numId="3" w16cid:durableId="161513067">
    <w:abstractNumId w:val="2"/>
  </w:num>
  <w:num w:numId="4" w16cid:durableId="1974034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3AF8"/>
    <w:rsid w:val="0000513C"/>
    <w:rsid w:val="00014547"/>
    <w:rsid w:val="000E3C43"/>
    <w:rsid w:val="001076B7"/>
    <w:rsid w:val="00116D9E"/>
    <w:rsid w:val="00140B2C"/>
    <w:rsid w:val="001771FE"/>
    <w:rsid w:val="00195882"/>
    <w:rsid w:val="001B48AE"/>
    <w:rsid w:val="001C0AF1"/>
    <w:rsid w:val="00220166"/>
    <w:rsid w:val="002217B4"/>
    <w:rsid w:val="00233194"/>
    <w:rsid w:val="002706D6"/>
    <w:rsid w:val="00290CDC"/>
    <w:rsid w:val="002911F9"/>
    <w:rsid w:val="002F7CCC"/>
    <w:rsid w:val="00312860"/>
    <w:rsid w:val="003E1078"/>
    <w:rsid w:val="00460171"/>
    <w:rsid w:val="004A21FE"/>
    <w:rsid w:val="004E1E3A"/>
    <w:rsid w:val="005423A5"/>
    <w:rsid w:val="005A1F4C"/>
    <w:rsid w:val="005C1AEB"/>
    <w:rsid w:val="0065049A"/>
    <w:rsid w:val="0067290A"/>
    <w:rsid w:val="006B30C8"/>
    <w:rsid w:val="006D3E84"/>
    <w:rsid w:val="007332DC"/>
    <w:rsid w:val="007966BD"/>
    <w:rsid w:val="00813A8F"/>
    <w:rsid w:val="00840AB1"/>
    <w:rsid w:val="00896C0F"/>
    <w:rsid w:val="008A6DAA"/>
    <w:rsid w:val="008D6D8B"/>
    <w:rsid w:val="008F0B6D"/>
    <w:rsid w:val="00944AC6"/>
    <w:rsid w:val="00A36219"/>
    <w:rsid w:val="00A5711A"/>
    <w:rsid w:val="00A639CA"/>
    <w:rsid w:val="00B67A87"/>
    <w:rsid w:val="00B71877"/>
    <w:rsid w:val="00BA1CFA"/>
    <w:rsid w:val="00BA6352"/>
    <w:rsid w:val="00BD24B9"/>
    <w:rsid w:val="00BD3F2E"/>
    <w:rsid w:val="00BF3AAA"/>
    <w:rsid w:val="00C63E81"/>
    <w:rsid w:val="00D36430"/>
    <w:rsid w:val="00D53AF8"/>
    <w:rsid w:val="00D5566A"/>
    <w:rsid w:val="00DB7E1D"/>
    <w:rsid w:val="00DC7FFB"/>
    <w:rsid w:val="00DD2480"/>
    <w:rsid w:val="00DE0876"/>
    <w:rsid w:val="00E8550E"/>
    <w:rsid w:val="00E924D9"/>
    <w:rsid w:val="00EB3B2E"/>
    <w:rsid w:val="00EC1A20"/>
    <w:rsid w:val="00EE714A"/>
    <w:rsid w:val="00F1380C"/>
    <w:rsid w:val="00F209EC"/>
    <w:rsid w:val="00F81FF7"/>
    <w:rsid w:val="00FA0C5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E1A75D"/>
  <w15:chartTrackingRefBased/>
  <w15:docId w15:val="{43582F0F-1753-4B52-8690-159ED3173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76B7"/>
    <w:pPr>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D53AF8"/>
    <w:pPr>
      <w:tabs>
        <w:tab w:val="center" w:pos="4419"/>
        <w:tab w:val="right" w:pos="8838"/>
      </w:tabs>
    </w:pPr>
  </w:style>
  <w:style w:type="character" w:customStyle="1" w:styleId="EncabezadoCar">
    <w:name w:val="Encabezado Car"/>
    <w:basedOn w:val="Fuentedeprrafopredeter"/>
    <w:link w:val="Encabezado"/>
    <w:rsid w:val="00D53AF8"/>
  </w:style>
  <w:style w:type="paragraph" w:styleId="Piedepgina">
    <w:name w:val="footer"/>
    <w:basedOn w:val="Normal"/>
    <w:link w:val="PiedepginaCar"/>
    <w:uiPriority w:val="99"/>
    <w:unhideWhenUsed/>
    <w:rsid w:val="00D53AF8"/>
    <w:pPr>
      <w:tabs>
        <w:tab w:val="center" w:pos="4419"/>
        <w:tab w:val="right" w:pos="8838"/>
      </w:tabs>
    </w:pPr>
  </w:style>
  <w:style w:type="character" w:customStyle="1" w:styleId="PiedepginaCar">
    <w:name w:val="Pie de página Car"/>
    <w:basedOn w:val="Fuentedeprrafopredeter"/>
    <w:link w:val="Piedepgina"/>
    <w:uiPriority w:val="99"/>
    <w:rsid w:val="00D53AF8"/>
  </w:style>
  <w:style w:type="character" w:styleId="Hipervnculo">
    <w:name w:val="Hyperlink"/>
    <w:rsid w:val="00D53AF8"/>
    <w:rPr>
      <w:color w:val="0000FF"/>
      <w:u w:val="single"/>
    </w:rPr>
  </w:style>
  <w:style w:type="character" w:styleId="Textodelmarcadordeposicin">
    <w:name w:val="Placeholder Text"/>
    <w:basedOn w:val="Fuentedeprrafopredeter"/>
    <w:uiPriority w:val="99"/>
    <w:semiHidden/>
    <w:rsid w:val="002706D6"/>
    <w:rPr>
      <w:color w:val="808080"/>
    </w:rPr>
  </w:style>
  <w:style w:type="paragraph" w:styleId="Prrafodelista">
    <w:name w:val="List Paragraph"/>
    <w:basedOn w:val="Normal"/>
    <w:uiPriority w:val="34"/>
    <w:qFormat/>
    <w:rsid w:val="00312860"/>
    <w:pPr>
      <w:ind w:left="720"/>
      <w:contextualSpacing/>
    </w:pPr>
  </w:style>
  <w:style w:type="character" w:customStyle="1" w:styleId="apple-converted-space">
    <w:name w:val="apple-converted-space"/>
    <w:basedOn w:val="Fuentedeprrafopredeter"/>
    <w:rsid w:val="00220166"/>
  </w:style>
  <w:style w:type="table" w:styleId="Tablaconcuadrcula1clara-nfasis5">
    <w:name w:val="Grid Table 1 Light Accent 5"/>
    <w:basedOn w:val="Tablanormal"/>
    <w:uiPriority w:val="46"/>
    <w:rsid w:val="005423A5"/>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paragraph" w:styleId="Listaconvietas">
    <w:name w:val="List Bullet"/>
    <w:basedOn w:val="Normal"/>
    <w:uiPriority w:val="99"/>
    <w:unhideWhenUsed/>
    <w:rsid w:val="006B30C8"/>
    <w:pPr>
      <w:numPr>
        <w:numId w:val="4"/>
      </w:numPr>
      <w:tabs>
        <w:tab w:val="clear" w:pos="360"/>
      </w:tabs>
      <w:suppressAutoHyphens w:val="0"/>
      <w:overflowPunct/>
      <w:autoSpaceDE/>
      <w:autoSpaceDN/>
      <w:adjustRightInd/>
      <w:spacing w:after="200" w:line="276" w:lineRule="auto"/>
      <w:ind w:left="0" w:firstLine="0"/>
      <w:contextualSpacing/>
      <w:jc w:val="left"/>
      <w:textAlignment w:val="auto"/>
    </w:pPr>
    <w:rPr>
      <w:rFonts w:ascii="Arial" w:eastAsia="Arial" w:hAnsi="Arial" w:cstheme="minorBid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69FB59-761F-46C4-87A0-28CF8C78B8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0</Words>
  <Characters>4</Characters>
  <Application>Microsoft Office Word</Application>
  <DocSecurity>0</DocSecurity>
  <Lines>1</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Hilda Ochoa</dc:creator>
  <cp:keywords/>
  <dc:description/>
  <cp:lastModifiedBy>SIGILFREDO</cp:lastModifiedBy>
  <cp:revision>3</cp:revision>
  <dcterms:created xsi:type="dcterms:W3CDTF">2026-05-30T17:08:00Z</dcterms:created>
  <dcterms:modified xsi:type="dcterms:W3CDTF">2026-05-30T17:13:00Z</dcterms:modified>
</cp:coreProperties>
</file>