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apoyo para la sustentación</w:t>
      </w:r>
    </w:p>
    <w:p>
      <w:pPr>
        <w:spacing w:line="480" w:lineRule="auto"/>
        <w:jc w:val="center"/>
      </w:pPr>
      <w:r>
        <w:rPr>
          <w:rFonts w:ascii="Times New Roman" w:hAnsi="Times New Roman"/>
          <w:b w:val="0"/>
          <w:i/>
          <w:sz w:val="24"/>
        </w:rPr>
        <w:t>Sustentación y defensa de la matriz, punto por punto</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18 de agosto de 2026</w:t>
      </w:r>
    </w:p>
    <w:p>
      <w:r>
        <w:br w:type="page"/>
      </w:r>
    </w:p>
    <w:p>
      <w:pPr>
        <w:spacing w:line="480" w:lineRule="auto"/>
        <w:jc w:val="center"/>
      </w:pPr>
      <w:r>
        <w:rPr>
          <w:rFonts w:ascii="Times New Roman" w:hAnsi="Times New Roman"/>
          <w:b/>
          <w:i w:val="0"/>
          <w:sz w:val="24"/>
        </w:rPr>
        <w:t>Documento de apoyo para la sustentación</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before="200" w:after="80"/>
      </w:pPr>
      <w:r>
        <w:rPr>
          <w:rFonts w:ascii="Times New Roman" w:hAnsi="Times New Roman"/>
          <w:b/>
          <w:color w:val="2E5A87"/>
          <w:sz w:val="26"/>
        </w:rPr>
        <w:t>Cómo usar este documento</w:t>
      </w:r>
    </w:p>
    <w:p>
      <w:pPr>
        <w:spacing w:after="120"/>
      </w:pPr>
      <w:r>
        <w:rPr>
          <w:rFonts w:ascii="Times New Roman" w:hAnsi="Times New Roman"/>
          <w:b w:val="0"/>
          <w:sz w:val="24"/>
        </w:rPr>
        <w:t>Tu matriz tiene doce celdas y cada una es una decisión. Este documento le pone a cada una dos cosas: **por qué está así** —el fundamento, para que puedas explicarla— y **cómo defenderla** —la objeción más probable y la respuesta—.</w:t>
      </w:r>
    </w:p>
    <w:p>
      <w:pPr>
        <w:spacing w:after="120"/>
      </w:pPr>
      <w:r>
        <w:rPr>
          <w:rFonts w:ascii="Times New Roman" w:hAnsi="Times New Roman"/>
          <w:b w:val="0"/>
          <w:sz w:val="24"/>
        </w:rPr>
        <w:t>No lo memorices. Léelo una vez en voz alta y quédate con el fundamento de cada punto; la respuesta sale sola cuando entiendes por qué decidiste lo que decidiste.</w:t>
      </w:r>
    </w:p>
    <w:p>
      <w:pPr>
        <w:spacing w:before="200" w:after="80"/>
      </w:pPr>
      <w:r>
        <w:rPr>
          <w:rFonts w:ascii="Times New Roman" w:hAnsi="Times New Roman"/>
          <w:b/>
          <w:color w:val="2E5A87"/>
          <w:sz w:val="26"/>
        </w:rPr>
        <w:t>1. Tema</w:t>
      </w:r>
    </w:p>
    <w:p>
      <w:pPr>
        <w:spacing w:after="120"/>
      </w:pPr>
      <w:r>
        <w:rPr>
          <w:rFonts w:ascii="Times New Roman" w:hAnsi="Times New Roman"/>
          <w:b w:val="0"/>
          <w:sz w:val="24"/>
        </w:rPr>
        <w:t>**Qué dice.** Inclusión educativa y socioemocionalidad en la básica secundaria de Córdoba: las prácticas que configuran los docentes y las vivencias de los estudiantes con dificultades de aprendizaje sin diagnóstico, comprendidas desde los relatos de sus protagonistas.</w:t>
      </w:r>
    </w:p>
    <w:p>
      <w:pPr>
        <w:spacing w:after="120"/>
      </w:pPr>
      <w:r>
        <w:rPr>
          <w:rFonts w:ascii="Times New Roman" w:hAnsi="Times New Roman"/>
          <w:b w:val="0"/>
          <w:sz w:val="24"/>
        </w:rPr>
        <w:t>**Por qué está así.** El tema nombra tres cosas que después tienen que aparecer en todo lo demás: las dos categorías —inclusión y socioemocionalidad—, el sujeto —los estudiantes sin diagnóstico— y la vía de acceso —el relato—. Además declara de entrada que no es un asunto psicológico sino de política educativa. Esa frase, que parece un adorno, es la que sostiene tu adscripción a la Línea 3 y al énfasis en Políticas Contemporáneas.</w:t>
      </w:r>
    </w:p>
    <w:p>
      <w:pPr>
        <w:spacing w:after="120"/>
      </w:pPr>
      <w:r>
        <w:rPr>
          <w:rFonts w:ascii="Times New Roman" w:hAnsi="Times New Roman"/>
          <w:b w:val="0"/>
          <w:sz w:val="24"/>
        </w:rPr>
        <w:t>**Cómo lo defiendes.** Si alguien dice que lo socioemocional es tema de psicología: «no estudio las emociones del estudiante, estudio qué hace la política de inclusión con la dimensión socioemocional y qué produce esa omisión en quien la vive. El objeto es la política puesta en acto, no el psiquismo».</w:t>
      </w:r>
    </w:p>
    <w:p>
      <w:pPr>
        <w:spacing w:before="200" w:after="80"/>
      </w:pPr>
      <w:r>
        <w:rPr>
          <w:rFonts w:ascii="Times New Roman" w:hAnsi="Times New Roman"/>
          <w:b/>
          <w:color w:val="2E5A87"/>
          <w:sz w:val="26"/>
        </w:rPr>
        <w:t>2. Contexto</w:t>
      </w:r>
    </w:p>
    <w:p>
      <w:pPr>
        <w:spacing w:after="120"/>
      </w:pPr>
      <w:r>
        <w:rPr>
          <w:rFonts w:ascii="Times New Roman" w:hAnsi="Times New Roman"/>
          <w:b w:val="0"/>
          <w:sz w:val="24"/>
        </w:rPr>
        <w:t>**Qué dice.** Tres planos: el normativo —el Decreto 1421 y las cuatro leyes socioemocionales de 2024-2025 que no lo mencionan—, el territorial —dos instituciones de Córdoba, una semirural y una urbana— y el poblacional —estudiantes sin diagnóstico y los docentes que les enseñan—.</w:t>
      </w:r>
    </w:p>
    <w:p>
      <w:pPr>
        <w:spacing w:after="120"/>
      </w:pPr>
      <w:r>
        <w:rPr>
          <w:rFonts w:ascii="Times New Roman" w:hAnsi="Times New Roman"/>
          <w:b w:val="0"/>
          <w:sz w:val="24"/>
        </w:rPr>
        <w:t>**Por qué está así.** Porque tu problema no vive en el territorio: vive en el plano normativo. Que dos cuerpos de ley regulen lo mismo sin citarse es un dato verificable, no una interpretación, y es el que convierte tu tema en un problema de investigación. Si el contexto dijera solo «Córdoba», el lector no vería dónde está la fisura.</w:t>
      </w:r>
    </w:p>
    <w:p>
      <w:pPr>
        <w:spacing w:after="120"/>
      </w:pPr>
      <w:r>
        <w:rPr>
          <w:rFonts w:ascii="Times New Roman" w:hAnsi="Times New Roman"/>
          <w:b w:val="0"/>
          <w:sz w:val="24"/>
        </w:rPr>
        <w:t>**Cómo lo defiendes.** Si te preguntan por qué tres planos: «porque el contexto de un problema de política no es solo geográfico. El normativo explica de dónde sale la fisura, el territorial dónde se agrava y el poblacional a quién le ocurre».</w:t>
      </w:r>
    </w:p>
    <w:p>
      <w:pPr>
        <w:spacing w:before="200" w:after="80"/>
      </w:pPr>
      <w:r>
        <w:rPr>
          <w:rFonts w:ascii="Times New Roman" w:hAnsi="Times New Roman"/>
          <w:b/>
          <w:color w:val="2E5A87"/>
          <w:sz w:val="26"/>
        </w:rPr>
        <w:t>3. Temporalidad</w:t>
      </w:r>
    </w:p>
    <w:p>
      <w:pPr>
        <w:spacing w:after="120"/>
      </w:pPr>
      <w:r>
        <w:rPr>
          <w:rFonts w:ascii="Times New Roman" w:hAnsi="Times New Roman"/>
          <w:b w:val="0"/>
          <w:sz w:val="24"/>
        </w:rPr>
        <w:t>**Qué dice.** Tres tiempos: el del fenómeno —nueve años de vigencia del Decreto 1421—, el del relato —trayectoria previa, vivencia presente y expectativa de futuro— y el del estudio —2026-2029, con el campo en el tercer semestre—.</w:t>
      </w:r>
    </w:p>
    <w:p>
      <w:pPr>
        <w:spacing w:after="120"/>
      </w:pPr>
      <w:r>
        <w:rPr>
          <w:rFonts w:ascii="Times New Roman" w:hAnsi="Times New Roman"/>
          <w:b w:val="0"/>
          <w:sz w:val="24"/>
        </w:rPr>
        <w:t>**Por qué está así.** Porque en un diseño narrativo el tiempo no es un dato administrativo: es una dimensión del análisis. Los estudiantes que hoy cursan básica secundaria hicieron toda su escolaridad bajo esa política, de modo que sus relatos no hablan de una norma reciente sino de una experiencia acumulada.</w:t>
      </w:r>
    </w:p>
    <w:p>
      <w:pPr>
        <w:spacing w:after="120"/>
      </w:pPr>
      <w:r>
        <w:rPr>
          <w:rFonts w:ascii="Times New Roman" w:hAnsi="Times New Roman"/>
          <w:b w:val="0"/>
          <w:sz w:val="24"/>
        </w:rPr>
        <w:t>**Cómo lo defiendes.** Es tu punto más fuerte para mostrar dominio del diseño. Si te preguntan: «la temporalidad tiene tres significados en este estudio, y responder solo el cronograma dejaría el diseño incompleto». Ahí demuestras que entiendes la narrativa por dentro, no solo su nombre.</w:t>
      </w:r>
    </w:p>
    <w:p>
      <w:pPr>
        <w:spacing w:before="200" w:after="80"/>
      </w:pPr>
      <w:r>
        <w:rPr>
          <w:rFonts w:ascii="Times New Roman" w:hAnsi="Times New Roman"/>
          <w:b/>
          <w:color w:val="2E5A87"/>
          <w:sz w:val="26"/>
        </w:rPr>
        <w:t>4. Problema</w:t>
      </w:r>
    </w:p>
    <w:p>
      <w:pPr>
        <w:spacing w:after="120"/>
      </w:pPr>
      <w:r>
        <w:rPr>
          <w:rFonts w:ascii="Times New Roman" w:hAnsi="Times New Roman"/>
          <w:b w:val="0"/>
          <w:sz w:val="24"/>
        </w:rPr>
        <w:t>**Qué dice.** La política concreta sus dispositivos sobre el aprendizaje y deja la dimensión socioemocional como punto ciego; en lo semirural se agrava porque el diagnóstico depende de una oferta de salud escasa; y hay un vacío de sujeto: los estudiantes sin diagnóstico quedan fuera del dispositivo y también de la investigación.</w:t>
      </w:r>
    </w:p>
    <w:p>
      <w:pPr>
        <w:spacing w:after="120"/>
      </w:pPr>
      <w:r>
        <w:rPr>
          <w:rFonts w:ascii="Times New Roman" w:hAnsi="Times New Roman"/>
          <w:b w:val="0"/>
          <w:sz w:val="24"/>
        </w:rPr>
        <w:t>**Por qué está así.** Un problema doctoral no es una carencia ni una queja: es una tensión que puede investigarse. La tuya es doble —desarticulación normativa y vacío de sujeto— y la segunda es la que te distingue de las diecisiete tesis de Córdoba.</w:t>
      </w:r>
    </w:p>
    <w:p>
      <w:pPr>
        <w:spacing w:after="120"/>
      </w:pPr>
      <w:r>
        <w:rPr>
          <w:rFonts w:ascii="Times New Roman" w:hAnsi="Times New Roman"/>
          <w:b w:val="0"/>
          <w:sz w:val="24"/>
        </w:rPr>
        <w:t>**Cómo lo defiendes.** Si dicen que el problema ya está estudiado: «se ha estudiado la inclusión, y mucho. Lo que no se ha estudiado es a quien tiene dificultades sin diagnóstico: está fuera del PIAR y también fuera de la literatura. Es doblemente invisible».</w:t>
      </w:r>
    </w:p>
    <w:p>
      <w:pPr>
        <w:spacing w:before="200" w:after="80"/>
      </w:pPr>
      <w:r>
        <w:rPr>
          <w:rFonts w:ascii="Times New Roman" w:hAnsi="Times New Roman"/>
          <w:b/>
          <w:color w:val="2E5A87"/>
          <w:sz w:val="26"/>
        </w:rPr>
        <w:t>5. Título</w:t>
      </w:r>
    </w:p>
    <w:p>
      <w:pPr>
        <w:spacing w:after="120"/>
      </w:pPr>
      <w:r>
        <w:rPr>
          <w:rFonts w:ascii="Times New Roman" w:hAnsi="Times New Roman"/>
          <w:b w:val="0"/>
          <w:sz w:val="24"/>
        </w:rPr>
        <w:t>**Qué dice.** «Prácticas de inclusión y vivencias socioemocionales de estudiantes con dificultades de aprendizaje en básica secundaria semirural y urbana de Córdoba». Veinte palabras.</w:t>
      </w:r>
    </w:p>
    <w:p>
      <w:pPr>
        <w:spacing w:after="120"/>
      </w:pPr>
      <w:r>
        <w:rPr>
          <w:rFonts w:ascii="Times New Roman" w:hAnsi="Times New Roman"/>
          <w:b w:val="0"/>
          <w:sz w:val="24"/>
        </w:rPr>
        <w:t>**Por qué está así.** Cumple las tres reglas de la norma: se construye a partir del propósito general omitiendo el verbo, no pasa de veintiuna palabras y no lleva subtítulo, siglas ni abreviaturas. Nombra el objeto, el sujeto y el territorio.</w:t>
      </w:r>
    </w:p>
    <w:p>
      <w:pPr>
        <w:spacing w:after="120"/>
      </w:pPr>
      <w:r>
        <w:rPr>
          <w:rFonts w:ascii="Times New Roman" w:hAnsi="Times New Roman"/>
          <w:b w:val="0"/>
          <w:sz w:val="24"/>
        </w:rPr>
        <w:t>**Cómo lo defiendes.** Si preguntan por qué no aparecen los docentes: «están nombrados en “prácticas de inclusión”: son las prácticas que ellos configuran, y así lo dice mi primer propósito. Agregarlos otra vez llevaría el título a veinticinco palabras y la norma permite veintiuna».</w:t>
      </w:r>
    </w:p>
    <w:p>
      <w:pPr>
        <w:spacing w:before="200" w:after="80"/>
      </w:pPr>
      <w:r>
        <w:rPr>
          <w:rFonts w:ascii="Times New Roman" w:hAnsi="Times New Roman"/>
          <w:b/>
          <w:color w:val="2E5A87"/>
          <w:sz w:val="26"/>
        </w:rPr>
        <w:t>6. Pregunta</w:t>
      </w:r>
    </w:p>
    <w:p>
      <w:pPr>
        <w:spacing w:after="120"/>
      </w:pPr>
      <w:r>
        <w:rPr>
          <w:rFonts w:ascii="Times New Roman" w:hAnsi="Times New Roman"/>
          <w:b w:val="0"/>
          <w:sz w:val="24"/>
        </w:rPr>
        <w:t>**Qué dice.** ¿Cómo se relacionan las prácticas de inclusión educativa y las vivencias socioemocionales de los estudiantes con dificultades de aprendizaje y las de sus docentes, en dos instituciones de básica secundaria de Córdoba?</w:t>
      </w:r>
    </w:p>
    <w:p>
      <w:pPr>
        <w:spacing w:after="120"/>
      </w:pPr>
      <w:r>
        <w:rPr>
          <w:rFonts w:ascii="Times New Roman" w:hAnsi="Times New Roman"/>
          <w:b w:val="0"/>
          <w:sz w:val="24"/>
        </w:rPr>
        <w:t>**Por qué está así.** Porque pregunta por una relación y no por un cumplimiento. No indaga si la política se cumple —eso se responde con un indicador— sino cómo se relacionan, en la experiencia vivida, dos dimensiones que la política mantiene separadas. Es acotada, porque delimita sujetos, nivel y territorio, y es viable, porque el acceso está garantizado.</w:t>
      </w:r>
    </w:p>
    <w:p>
      <w:pPr>
        <w:spacing w:after="120"/>
      </w:pPr>
      <w:r>
        <w:rPr>
          <w:rFonts w:ascii="Times New Roman" w:hAnsi="Times New Roman"/>
          <w:b w:val="0"/>
          <w:sz w:val="24"/>
        </w:rPr>
        <w:t>**Cómo lo defiendes.** Si dicen que es muy amplia: «delimita cuatro cosas a la vez: qué relación, en quiénes, en qué nivel educativo y en qué territorio. Y el verbo es “relacionar”, que es lo que un estudio comprensivo puede responder».</w:t>
      </w:r>
    </w:p>
    <w:p>
      <w:pPr>
        <w:spacing w:before="200" w:after="80"/>
      </w:pPr>
      <w:r>
        <w:rPr>
          <w:rFonts w:ascii="Times New Roman" w:hAnsi="Times New Roman"/>
          <w:b/>
          <w:color w:val="2E5A87"/>
          <w:sz w:val="26"/>
        </w:rPr>
        <w:t>7. Propósito general</w:t>
      </w:r>
    </w:p>
    <w:p>
      <w:pPr>
        <w:spacing w:after="120"/>
      </w:pPr>
      <w:r>
        <w:rPr>
          <w:rFonts w:ascii="Times New Roman" w:hAnsi="Times New Roman"/>
          <w:b w:val="0"/>
          <w:sz w:val="24"/>
        </w:rPr>
        <w:t>**Qué dice.** Comprender críticamente, desde los relatos de sus protagonistas, cómo se relacionan esas prácticas y esas vivencias en dos instituciones de básica secundaria de Córdoba.</w:t>
      </w:r>
    </w:p>
    <w:p>
      <w:pPr>
        <w:spacing w:after="120"/>
      </w:pPr>
      <w:r>
        <w:rPr>
          <w:rFonts w:ascii="Times New Roman" w:hAnsi="Times New Roman"/>
          <w:b w:val="0"/>
          <w:sz w:val="24"/>
        </w:rPr>
        <w:t>**Por qué está así.** El verbo es «comprender» y no «determinar», «medir» ni «evaluar»: es el único coherente con un paradigma hermenéutico. El «críticamente» no es un adorno, marca que la comprensión se lee con lente de política. Y «desde los relatos» declara la vía de acceso en el propio propósito.</w:t>
      </w:r>
    </w:p>
    <w:p>
      <w:pPr>
        <w:spacing w:after="120"/>
      </w:pPr>
      <w:r>
        <w:rPr>
          <w:rFonts w:ascii="Times New Roman" w:hAnsi="Times New Roman"/>
          <w:b w:val="0"/>
          <w:sz w:val="24"/>
        </w:rPr>
        <w:t>**Cómo lo defiendes.** Si alguien sugiere que agregue un verbo de impacto: «un propósito que promete transformar exige implementar y medir, y eso es otro diseño y otros tres años. Este estudio produce comprensión, y eso es lo que un diseño narrativo puede sostener».</w:t>
      </w:r>
    </w:p>
    <w:p>
      <w:pPr>
        <w:spacing w:before="200" w:after="80"/>
      </w:pPr>
      <w:r>
        <w:rPr>
          <w:rFonts w:ascii="Times New Roman" w:hAnsi="Times New Roman"/>
          <w:b/>
          <w:color w:val="2E5A87"/>
          <w:sz w:val="26"/>
        </w:rPr>
        <w:t>8. Paradigma y diseño</w:t>
      </w:r>
    </w:p>
    <w:p>
      <w:pPr>
        <w:spacing w:after="120"/>
      </w:pPr>
      <w:r>
        <w:rPr>
          <w:rFonts w:ascii="Times New Roman" w:hAnsi="Times New Roman"/>
          <w:b w:val="0"/>
          <w:sz w:val="24"/>
        </w:rPr>
        <w:t>**Qué dice.** Paradigma histórico-hermenéutico de orientación crítica → enfoque cualitativo → tipo comprensivo → diseño narrativo con relatos de vida. Categorías, no variables. Tres técnicas. Corpus de seis estudiantes y cuatro docentes, ajustable por saturación. El contraste semirural-urbano como criterio de selección, no como diseño comparativo.</w:t>
      </w:r>
    </w:p>
    <w:p>
      <w:pPr>
        <w:spacing w:after="120"/>
      </w:pPr>
      <w:r>
        <w:rPr>
          <w:rFonts w:ascii="Times New Roman" w:hAnsi="Times New Roman"/>
          <w:b w:val="0"/>
          <w:sz w:val="24"/>
        </w:rPr>
        <w:t>**Por qué está así.** Es una cadena, y esa es su fuerza: cada eslabón se deduce del anterior. Si el fenómeno solo se entrega narrado, el acceso es interpretativo; si es interpretativo, el paradigma es hermenéutico; si la lente es de política, es de orientación crítica; y si la unidad es el relato, el diseño es narrativo.</w:t>
      </w:r>
    </w:p>
    <w:p>
      <w:pPr>
        <w:spacing w:after="120"/>
      </w:pPr>
      <w:r>
        <w:rPr>
          <w:rFonts w:ascii="Times New Roman" w:hAnsi="Times New Roman"/>
          <w:b w:val="0"/>
          <w:sz w:val="24"/>
        </w:rPr>
        <w:t>**Cómo lo defiendes.** Tres objeciones probables y su respuesta:</w:t>
      </w:r>
    </w:p>
    <w:p>
      <w:pPr>
        <w:spacing w:after="120"/>
      </w:pPr>
      <w:r>
        <w:rPr>
          <w:rFonts w:ascii="Times New Roman" w:hAnsi="Times New Roman"/>
          <w:b w:val="0"/>
          <w:sz w:val="24"/>
        </w:rPr>
        <w:t>· «¿Por qué categorías y no variables?» Porque no hay medición ni relación causal entre magnitudes; las categorías ordenan la interpretación. Hablar de variables en un estudio comprensivo es la incoherencia más fácil de detectar.</w:t>
      </w:r>
    </w:p>
    <w:p>
      <w:pPr>
        <w:spacing w:after="120"/>
      </w:pPr>
      <w:r>
        <w:rPr>
          <w:rFonts w:ascii="Times New Roman" w:hAnsi="Times New Roman"/>
          <w:b w:val="0"/>
          <w:sz w:val="24"/>
        </w:rPr>
        <w:t>· «¿Por qué no estudio de caso?» Porque un caso es un sistema delimitado —una institución, un aula—; mi objeto no es un sistema sino una experiencia que solo se entrega narrada. Organizar el material por institución haría de la escuela la unidad de análisis y perdería la trayectoria.</w:t>
      </w:r>
    </w:p>
    <w:p>
      <w:pPr>
        <w:spacing w:after="120"/>
      </w:pPr>
      <w:r>
        <w:rPr>
          <w:rFonts w:ascii="Times New Roman" w:hAnsi="Times New Roman"/>
          <w:b w:val="0"/>
          <w:sz w:val="24"/>
        </w:rPr>
        <w:t>· «Si son dos instituciones, ¿no es comparativo?» No: las instituciones no son unidades de análisis, son escenarios donde se seleccionan los narradores. Busco comprender cómo una misma política adquiere sentidos distintos según el territorio.</w:t>
      </w:r>
    </w:p>
    <w:p>
      <w:pPr>
        <w:spacing w:before="200" w:after="80"/>
      </w:pPr>
      <w:r>
        <w:rPr>
          <w:rFonts w:ascii="Times New Roman" w:hAnsi="Times New Roman"/>
          <w:b/>
          <w:color w:val="2E5A87"/>
          <w:sz w:val="26"/>
        </w:rPr>
        <w:t>9. Corpus: seis y cuatro</w:t>
      </w:r>
    </w:p>
    <w:p>
      <w:pPr>
        <w:spacing w:after="120"/>
      </w:pPr>
      <w:r>
        <w:rPr>
          <w:rFonts w:ascii="Times New Roman" w:hAnsi="Times New Roman"/>
          <w:b w:val="0"/>
          <w:sz w:val="24"/>
        </w:rPr>
        <w:t>**Qué dice.** Seis relatos de estudiantes —tres por contexto— y cuatro de docentes —dos por contexto—, ajustables por saturación.</w:t>
      </w:r>
    </w:p>
    <w:p>
      <w:pPr>
        <w:spacing w:after="120"/>
      </w:pPr>
      <w:r>
        <w:rPr>
          <w:rFonts w:ascii="Times New Roman" w:hAnsi="Times New Roman"/>
          <w:b w:val="0"/>
          <w:sz w:val="24"/>
        </w:rPr>
        <w:t>**Por qué está así.** El peso de las voces declara quién es el sujeto. La producción disponible en el territorio está construida sobre la voz docente; un reparto equilibrado te acercaría a ser una más de ese conjunto. Pero un corpus solo de estudiantes mostraría el efecto sin el mecanismo por el cual la política se traduce o deja de traducirse en experiencia. Y tres por contexto tolera una deserción sin que el contraste colapse.</w:t>
      </w:r>
    </w:p>
    <w:p>
      <w:pPr>
        <w:spacing w:after="120"/>
      </w:pPr>
      <w:r>
        <w:rPr>
          <w:rFonts w:ascii="Times New Roman" w:hAnsi="Times New Roman"/>
          <w:b w:val="0"/>
          <w:sz w:val="24"/>
        </w:rPr>
        <w:t>**Cómo lo defiendes.** Si preguntan si diez relatos bastan: «el criterio de cierre no es el número sino la saturación: se recogen relatos hasta que los nuevos dejan de aportar sentidos nuevos. La cifra orienta el diseño, no opera como cuota».</w:t>
      </w:r>
    </w:p>
    <w:p>
      <w:pPr>
        <w:spacing w:before="200" w:after="80"/>
      </w:pPr>
      <w:r>
        <w:rPr>
          <w:rFonts w:ascii="Times New Roman" w:hAnsi="Times New Roman"/>
          <w:b/>
          <w:color w:val="2E5A87"/>
          <w:sz w:val="26"/>
        </w:rPr>
        <w:t>10. Primera fila de la tabla: prácticas docentes</w:t>
      </w:r>
    </w:p>
    <w:p>
      <w:pPr>
        <w:spacing w:after="120"/>
      </w:pPr>
      <w:r>
        <w:rPr>
          <w:rFonts w:ascii="Times New Roman" w:hAnsi="Times New Roman"/>
          <w:b w:val="0"/>
          <w:sz w:val="24"/>
        </w:rPr>
        <w:t>**Qué dice.** Pregunta por cómo configuran los docentes sus prácticas → propósito de caracterizarlas → categoría de prácticas de inclusión, DUA, PIAR y barreras → técnicas de entrevista, relatos y revisión documental.</w:t>
      </w:r>
    </w:p>
    <w:p>
      <w:pPr>
        <w:spacing w:after="120"/>
      </w:pPr>
      <w:r>
        <w:rPr>
          <w:rFonts w:ascii="Times New Roman" w:hAnsi="Times New Roman"/>
          <w:b w:val="0"/>
          <w:sz w:val="24"/>
        </w:rPr>
        <w:t>**Por qué está así.** Es el eslabón que aporta el mecanismo. Sin la voz docente verías el efecto en el estudiante pero no cómo se produce; con ella puedes mostrar dónde la política se interrumpe.</w:t>
      </w:r>
    </w:p>
    <w:p>
      <w:pPr>
        <w:spacing w:after="120"/>
      </w:pPr>
      <w:r>
        <w:rPr>
          <w:rFonts w:ascii="Times New Roman" w:hAnsi="Times New Roman"/>
          <w:b w:val="0"/>
          <w:sz w:val="24"/>
        </w:rPr>
        <w:t>**Cómo lo defiendes.** «Los docentes no son un segundo objeto: son la bisagra entre la norma y la vivencia. Por eso son los docentes de esos mismos estudiantes, para que ambas voces hablen de los mismos hechos escolares».</w:t>
      </w:r>
    </w:p>
    <w:p>
      <w:pPr>
        <w:spacing w:before="200" w:after="80"/>
      </w:pPr>
      <w:r>
        <w:rPr>
          <w:rFonts w:ascii="Times New Roman" w:hAnsi="Times New Roman"/>
          <w:b/>
          <w:color w:val="2E5A87"/>
          <w:sz w:val="26"/>
        </w:rPr>
        <w:t>11. Segunda fila: vivencias de los estudiantes</w:t>
      </w:r>
    </w:p>
    <w:p>
      <w:pPr>
        <w:spacing w:after="120"/>
      </w:pPr>
      <w:r>
        <w:rPr>
          <w:rFonts w:ascii="Times New Roman" w:hAnsi="Times New Roman"/>
          <w:b w:val="0"/>
          <w:sz w:val="24"/>
        </w:rPr>
        <w:t>**Qué dice.** Pregunta por cómo viven e interpretan su proceso → propósito de interpretar esas vivencias → categoría de vivencia socioemocional, exclusión sentida, reconocimiento y menosprecio → relatos de vida y entrevista a profundidad.</w:t>
      </w:r>
    </w:p>
    <w:p>
      <w:pPr>
        <w:spacing w:after="120"/>
      </w:pPr>
      <w:r>
        <w:rPr>
          <w:rFonts w:ascii="Times New Roman" w:hAnsi="Times New Roman"/>
          <w:b w:val="0"/>
          <w:sz w:val="24"/>
        </w:rPr>
        <w:t>**Por qué está así.** Es el corazón del estudio y el lugar del vacío. Las categorías no son psicológicas: reconocimiento y menosprecio remiten a una teoría del reconocimiento, no a una escala de emociones. Eso mantiene el objeto en el terreno de la justicia y no del bienestar individual.</w:t>
      </w:r>
    </w:p>
    <w:p>
      <w:pPr>
        <w:spacing w:after="120"/>
      </w:pPr>
      <w:r>
        <w:rPr>
          <w:rFonts w:ascii="Times New Roman" w:hAnsi="Times New Roman"/>
          <w:b w:val="0"/>
          <w:sz w:val="24"/>
        </w:rPr>
        <w:t>**Cómo lo defiendes.** Si dicen que eso es medir bienestar: «no mido estados afectivos: interpreto cómo se vive el reconocimiento o su ausencia dentro de un dispositivo de política. Es una lectura de justicia, no de salud mental».</w:t>
      </w:r>
    </w:p>
    <w:p>
      <w:pPr>
        <w:spacing w:before="200" w:after="80"/>
      </w:pPr>
      <w:r>
        <w:rPr>
          <w:rFonts w:ascii="Times New Roman" w:hAnsi="Times New Roman"/>
          <w:b/>
          <w:color w:val="2E5A87"/>
          <w:sz w:val="26"/>
        </w:rPr>
        <w:t>12. Tercera fila: la relación y el contraste</w:t>
      </w:r>
    </w:p>
    <w:p>
      <w:pPr>
        <w:spacing w:after="120"/>
      </w:pPr>
      <w:r>
        <w:rPr>
          <w:rFonts w:ascii="Times New Roman" w:hAnsi="Times New Roman"/>
          <w:b w:val="0"/>
          <w:sz w:val="24"/>
        </w:rPr>
        <w:t>**Qué dice.** Pregunta por las relaciones y sus variaciones → propósito de establecerlas → categoría de relación práctica-vivencia, territorio y paridad participativa → análisis temático, matrices y triangulación.</w:t>
      </w:r>
    </w:p>
    <w:p>
      <w:pPr>
        <w:spacing w:after="120"/>
      </w:pPr>
      <w:r>
        <w:rPr>
          <w:rFonts w:ascii="Times New Roman" w:hAnsi="Times New Roman"/>
          <w:b w:val="0"/>
          <w:sz w:val="24"/>
        </w:rPr>
        <w:t>**Por qué está así.** Es el eslabón que responde literalmente la pregunta central. Y es donde el eje semirural-urbano cumple su función: no comparar instituciones, sino mostrar que la misma política produce experiencias distintas según las condiciones del territorio.</w:t>
      </w:r>
    </w:p>
    <w:p>
      <w:pPr>
        <w:spacing w:after="120"/>
      </w:pPr>
      <w:r>
        <w:rPr>
          <w:rFonts w:ascii="Times New Roman" w:hAnsi="Times New Roman"/>
          <w:b w:val="0"/>
          <w:sz w:val="24"/>
        </w:rPr>
        <w:t>**Cómo lo defiendes.** «El contraste no busca decir cuál institución lo hace mejor. Busca mostrar que la política no llega igual a todas partes, y eso es análisis de política educativa».</w:t>
      </w:r>
    </w:p>
    <w:p>
      <w:pPr>
        <w:spacing w:before="200" w:after="80"/>
      </w:pPr>
      <w:r>
        <w:rPr>
          <w:rFonts w:ascii="Times New Roman" w:hAnsi="Times New Roman"/>
          <w:b/>
          <w:color w:val="2E5A87"/>
          <w:sz w:val="26"/>
        </w:rPr>
        <w:t>13. Cuarta fila: la comprensión teórica</w:t>
      </w:r>
    </w:p>
    <w:p>
      <w:pPr>
        <w:spacing w:after="120"/>
      </w:pPr>
      <w:r>
        <w:rPr>
          <w:rFonts w:ascii="Times New Roman" w:hAnsi="Times New Roman"/>
          <w:b w:val="0"/>
          <w:sz w:val="24"/>
        </w:rPr>
        <w:t>**Qué dice.** Pregunta por qué comprensión teórica se configura → propósito de configurarla → categoría de puesta en acto de la política, policy gap y comprensión emergente → revisión documental y círculo hermenéutico.</w:t>
      </w:r>
    </w:p>
    <w:p>
      <w:pPr>
        <w:spacing w:after="120"/>
      </w:pPr>
      <w:r>
        <w:rPr>
          <w:rFonts w:ascii="Times New Roman" w:hAnsi="Times New Roman"/>
          <w:b w:val="0"/>
          <w:sz w:val="24"/>
        </w:rPr>
        <w:t>**Por qué está así.** Es el cierre y el aporte. La norma pide, en el Capítulo V, «construcción y aportes teórico-argumentativos»: este propósito alimenta ese capítulo. Y reemplazó a los lineamientos, que se retiraron el 13 de agosto porque un estudio comprensivo no cierra en un documento normativo sin abrir la pregunta por quién lo valida.</w:t>
      </w:r>
    </w:p>
    <w:p>
      <w:pPr>
        <w:spacing w:after="120"/>
      </w:pPr>
      <w:r>
        <w:rPr>
          <w:rFonts w:ascii="Times New Roman" w:hAnsi="Times New Roman"/>
          <w:b w:val="0"/>
          <w:sz w:val="24"/>
        </w:rPr>
        <w:t>**Cómo lo defiendes.** Dos objeciones:</w:t>
      </w:r>
    </w:p>
    <w:p>
      <w:pPr>
        <w:spacing w:after="120"/>
      </w:pPr>
      <w:r>
        <w:rPr>
          <w:rFonts w:ascii="Times New Roman" w:hAnsi="Times New Roman"/>
          <w:b w:val="0"/>
          <w:sz w:val="24"/>
        </w:rPr>
        <w:t>· «¿Dónde queda el aporte si no propone nada?» El aporte es conocimiento transferible: un marco para leer cómo la política produce experiencia. El Capítulo VI de propuesta es opcional en la norma y este estudio no lo contempla.</w:t>
      </w:r>
    </w:p>
    <w:p>
      <w:pPr>
        <w:spacing w:after="120"/>
      </w:pPr>
      <w:r>
        <w:rPr>
          <w:rFonts w:ascii="Times New Roman" w:hAnsi="Times New Roman"/>
          <w:b w:val="0"/>
          <w:sz w:val="24"/>
        </w:rPr>
        <w:t>· «¿No es lo mismo que el propósito general, que también comprende?» No: el general interpreta el material de los casos; el cuarto opera sobre esa interpretación ya construida y la convierte en un aporte conceptual que excede los casos. Uno trabaja sobre los relatos; el otro, sobre los resultados de haberlos interpretado.</w:t>
      </w:r>
    </w:p>
    <w:p>
      <w:pPr>
        <w:spacing w:before="200" w:after="80"/>
      </w:pPr>
      <w:r>
        <w:rPr>
          <w:rFonts w:ascii="Times New Roman" w:hAnsi="Times New Roman"/>
          <w:b/>
          <w:color w:val="2E5A87"/>
          <w:sz w:val="26"/>
        </w:rPr>
        <w:t>Las tres frases que sostienen toda la matriz</w:t>
      </w:r>
    </w:p>
    <w:p>
      <w:pPr>
        <w:spacing w:after="120"/>
      </w:pPr>
      <w:r>
        <w:rPr>
          <w:rFonts w:ascii="Times New Roman" w:hAnsi="Times New Roman"/>
          <w:b w:val="0"/>
          <w:sz w:val="24"/>
        </w:rPr>
        <w:t>Si te quedas en blanco, vuelve a estas:</w:t>
      </w:r>
    </w:p>
    <w:p>
      <w:pPr>
        <w:spacing w:after="120"/>
      </w:pPr>
      <w:r>
        <w:rPr>
          <w:rFonts w:ascii="Times New Roman" w:hAnsi="Times New Roman"/>
          <w:b w:val="0"/>
          <w:sz w:val="24"/>
        </w:rPr>
        <w:t>**Sobre el objeto.** «La política de inclusión existe y es robusta, pero organiza sus dispositivos sobre el aprendizaje y deja lo socioemocional como punto ciego. Quiero comprender cómo se vive ese punto ciego.»</w:t>
      </w:r>
    </w:p>
    <w:p>
      <w:pPr>
        <w:spacing w:after="120"/>
      </w:pPr>
      <w:r>
        <w:rPr>
          <w:rFonts w:ascii="Times New Roman" w:hAnsi="Times New Roman"/>
          <w:b w:val="0"/>
          <w:sz w:val="24"/>
        </w:rPr>
        <w:t>**Sobre el vacío.** «No digo que nadie lo haya estudiado. Digo que se ha estudiado mucho, siempre desde el mismo lugar —la voz del docente, la competencia, la intervención— y que falta mirarlo desde el estudiante que lo padece y no tiene diagnóstico.»</w:t>
      </w:r>
    </w:p>
    <w:p>
      <w:pPr>
        <w:spacing w:after="120"/>
      </w:pPr>
      <w:r>
        <w:rPr>
          <w:rFonts w:ascii="Times New Roman" w:hAnsi="Times New Roman"/>
          <w:b w:val="0"/>
          <w:sz w:val="24"/>
        </w:rPr>
        <w:t>**Sobre la coherencia.** «Cada celda de esta matriz se deduce de la anterior: el problema define la pregunta, la pregunta define el propósito, el propósito define el paradigma y el paradigma define las técnicas. Si una pieza cambia, cambian todas.»</w:t>
      </w:r>
    </w:p>
    <w:p>
      <w:pPr>
        <w:spacing w:before="200" w:after="80"/>
      </w:pPr>
      <w:r>
        <w:rPr>
          <w:rFonts w:ascii="Times New Roman" w:hAnsi="Times New Roman"/>
          <w:b/>
          <w:color w:val="2E5A87"/>
          <w:sz w:val="26"/>
        </w:rPr>
        <w:t>Lo que NO debes decir</w:t>
      </w:r>
    </w:p>
    <w:p>
      <w:pPr>
        <w:spacing w:after="120"/>
      </w:pPr>
      <w:r>
        <w:rPr>
          <w:rFonts w:ascii="Times New Roman" w:hAnsi="Times New Roman"/>
          <w:b w:val="0"/>
          <w:sz w:val="24"/>
        </w:rPr>
        <w:t>«Nadie ha estudiado esto.» Es falso y se cae con un solo contraejemplo.</w:t>
      </w:r>
    </w:p>
    <w:p>
      <w:pPr>
        <w:spacing w:after="120"/>
      </w:pPr>
      <w:r>
        <w:rPr>
          <w:rFonts w:ascii="Times New Roman" w:hAnsi="Times New Roman"/>
          <w:b w:val="0"/>
          <w:sz w:val="24"/>
        </w:rPr>
        <w:t>«Voy a proponer una estrategia» o «un modelo». Ese es otro estudio y otra carga de validación.</w:t>
      </w:r>
    </w:p>
    <w:p>
      <w:pPr>
        <w:spacing w:after="120"/>
      </w:pPr>
      <w:r>
        <w:rPr>
          <w:rFonts w:ascii="Times New Roman" w:hAnsi="Times New Roman"/>
          <w:b w:val="0"/>
          <w:sz w:val="24"/>
        </w:rPr>
        <w:t>«Voy a medir el impacto.» Rompe la coherencia con el paradigma en tres palabras.</w:t>
      </w:r>
    </w:p>
    <w:p>
      <w:pPr>
        <w:spacing w:after="120"/>
      </w:pPr>
      <w:r>
        <w:rPr>
          <w:rFonts w:ascii="Times New Roman" w:hAnsi="Times New Roman"/>
          <w:b w:val="0"/>
          <w:sz w:val="24"/>
        </w:rPr>
        <w:t>«Mi asesora me dijo.» Defender por autoridad delata que la decisión no es tuya, y a partir de ahí todas las demás quedan bajo sospecha.</w:t>
      </w:r>
    </w:p>
    <w:p>
      <w:pPr>
        <w:spacing w:after="120"/>
      </w:pPr>
      <w:r>
        <w:rPr>
          <w:rFonts w:ascii="Times New Roman" w:hAnsi="Times New Roman"/>
          <w:b w:val="0"/>
          <w:sz w:val="24"/>
        </w:rPr>
        <w:t>Hablar de «competencias socioemocionales». Es el marco que tu tesis critica.</w:t>
      </w:r>
    </w:p>
    <w:p>
      <w:pPr>
        <w:spacing w:before="200" w:after="80"/>
      </w:pPr>
      <w:r>
        <w:rPr>
          <w:rFonts w:ascii="Times New Roman" w:hAnsi="Times New Roman"/>
          <w:b/>
          <w:color w:val="2E5A87"/>
          <w:sz w:val="26"/>
        </w:rPr>
        <w:t>SUSTENTACIÓN (solo para ti — borrar antes de compartir)</w:t>
      </w:r>
    </w:p>
    <w:p>
      <w:pPr>
        <w:spacing w:after="120"/>
      </w:pPr>
      <w:r>
        <w:rPr>
          <w:rFonts w:ascii="Times New Roman" w:hAnsi="Times New Roman"/>
          <w:b w:val="0"/>
          <w:sz w:val="24"/>
        </w:rPr>
        <w:t>Por qué este documento va celda por celda y no por temas. Porque así es como te van a preguntar. Nadie te va a decir «hábleme de su coherencia interna»: te van a señalar una casilla y te van a preguntar por qué dice eso. Si tienes el fundamento de cada una, cualquier orden de preguntas te encuentra preparada.</w:t>
      </w:r>
    </w:p>
    <w:p>
      <w:pPr>
        <w:spacing w:after="120"/>
      </w:pPr>
      <w:r>
        <w:rPr>
          <w:rFonts w:ascii="Times New Roman" w:hAnsi="Times New Roman"/>
          <w:b w:val="0"/>
          <w:sz w:val="24"/>
        </w:rPr>
        <w:t>Qué preguntas son las más probables, en orden. La del vacío frente a las tesis de Córdoba; la de por qué no estudio de caso; la de las dos instituciones; y la del aporte sin propuesta. Esas cuatro cubren el ochenta por ciento de lo que puede caer.</w:t>
      </w:r>
    </w:p>
    <w:p>
      <w:pPr>
        <w:spacing w:after="120"/>
      </w:pPr>
      <w:r>
        <w:rPr>
          <w:rFonts w:ascii="Times New Roman" w:hAnsi="Times New Roman"/>
          <w:b w:val="0"/>
          <w:sz w:val="24"/>
        </w:rPr>
        <w:t>Un cuidado con la celda 13. Es la única que cambió hace pocos días y la única que tu asesora conoce en su versión anterior, con lineamientos. Cuéntaselo tú antes de que lo note leyendo: una decisión comunicada a tiempo se lee como criterio, descubierta después se lee como omisión.</w:t>
      </w:r>
    </w:p>
    <w:p>
      <w:pPr>
        <w:spacing w:after="120"/>
      </w:pPr>
      <w:r>
        <w:rPr>
          <w:rFonts w:ascii="Times New Roman" w:hAnsi="Times New Roman"/>
          <w:b w:val="0"/>
          <w:sz w:val="24"/>
        </w:rPr>
        <w:t>Y algo que no está en el documento pero conviene que tengas presente. La matriz es fuerte porque cada celda se deduce de la anterior. Si en la sustentación te piden cambiar una —el corpus, el título, una categoría— pide un momento antes de aceptar y pregúntate qué otras celdas arrastra ese cambio. Aceptar rápido un cambio suelto es lo que rompe la coherencia que costó tres meses construir.</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