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maestro de trabajo</w:t>
      </w:r>
    </w:p>
    <w:p>
      <w:pPr>
        <w:spacing w:line="480" w:lineRule="auto"/>
        <w:jc w:val="center"/>
      </w:pPr>
      <w:r>
        <w:rPr>
          <w:rFonts w:ascii="Times New Roman" w:hAnsi="Times New Roman"/>
          <w:b w:val="0"/>
          <w:i/>
          <w:sz w:val="24"/>
        </w:rPr>
        <w:t>Reorganización de la tesis tras la asesoría del 18 de agosto</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19 de agosto de 2026</w:t>
      </w:r>
    </w:p>
    <w:p>
      <w:r>
        <w:br w:type="page"/>
      </w:r>
    </w:p>
    <w:p>
      <w:pPr>
        <w:spacing w:line="480" w:lineRule="auto"/>
        <w:jc w:val="center"/>
      </w:pPr>
      <w:r>
        <w:rPr>
          <w:rFonts w:ascii="Times New Roman" w:hAnsi="Times New Roman"/>
          <w:b/>
          <w:i w:val="0"/>
          <w:sz w:val="24"/>
        </w:rPr>
        <w:t>Documento maestro de trabajo</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before="200" w:after="80"/>
      </w:pPr>
      <w:r>
        <w:rPr>
          <w:rFonts w:ascii="Times New Roman" w:hAnsi="Times New Roman"/>
          <w:b/>
          <w:color w:val="2E5A87"/>
          <w:sz w:val="26"/>
        </w:rPr>
        <w:t>Qué cambió y por qué</w:t>
      </w:r>
    </w:p>
    <w:p>
      <w:pPr>
        <w:spacing w:after="120"/>
      </w:pPr>
      <w:r>
        <w:rPr>
          <w:rFonts w:ascii="Times New Roman" w:hAnsi="Times New Roman"/>
          <w:b w:val="0"/>
          <w:sz w:val="24"/>
        </w:rPr>
        <w:t>Cuatro decisiones nuevas, todas con origen: tres salen de la asesoría del 18 de agosto y una es tuya.</w:t>
      </w:r>
    </w:p>
    <w:p>
      <w:pPr>
        <w:spacing w:after="120"/>
      </w:pPr>
      <w:r>
        <w:rPr>
          <w:rFonts w:ascii="Times New Roman" w:hAnsi="Times New Roman"/>
          <w:b w:val="0"/>
          <w:sz w:val="24"/>
        </w:rPr>
        <w:t>**Uno.** Fuera «semirural». El Ministerio maneja urbano, rural y rural disperso; semirural no existe en su nomenclatura. Cambiado en los diecinueve documentos, 171 lugares.</w:t>
      </w:r>
    </w:p>
    <w:p>
      <w:pPr>
        <w:spacing w:after="120"/>
      </w:pPr>
      <w:r>
        <w:rPr>
          <w:rFonts w:ascii="Times New Roman" w:hAnsi="Times New Roman"/>
          <w:b w:val="0"/>
          <w:sz w:val="24"/>
        </w:rPr>
        <w:t>**Dos.** La pregunta central y la orientadora 4 se reescriben en clave narrativa. Gledys objetó que «se relacionan» suena correlacional, y tiene razón.</w:t>
      </w:r>
    </w:p>
    <w:p>
      <w:pPr>
        <w:spacing w:after="120"/>
      </w:pPr>
      <w:r>
        <w:rPr>
          <w:rFonts w:ascii="Times New Roman" w:hAnsi="Times New Roman"/>
          <w:b w:val="0"/>
          <w:sz w:val="24"/>
        </w:rPr>
        <w:t>**Tres.** Los cuatro propósitos toman la formulación que ella misma dictó en el minuto 82 del audio, con una coda en el cuarto para conservar la lente de política.</w:t>
      </w:r>
    </w:p>
    <w:p>
      <w:pPr>
        <w:spacing w:after="120"/>
      </w:pPr>
      <w:r>
        <w:rPr>
          <w:rFonts w:ascii="Times New Roman" w:hAnsi="Times New Roman"/>
          <w:b w:val="0"/>
          <w:sz w:val="24"/>
        </w:rPr>
        <w:t>**Cuatro.** Las dos instituciones quedan en Cereté. Eso no es logística: mejora el diseño, y abajo está el argumento para escribirlo.</w:t>
      </w:r>
    </w:p>
    <w:p>
      <w:pPr>
        <w:spacing w:before="200" w:after="80"/>
      </w:pPr>
      <w:r>
        <w:rPr>
          <w:rFonts w:ascii="Times New Roman" w:hAnsi="Times New Roman"/>
          <w:b/>
          <w:color w:val="2E5A87"/>
          <w:sz w:val="26"/>
        </w:rPr>
        <w:t>Título: tres opciones</w:t>
      </w:r>
    </w:p>
    <w:p>
      <w:pPr>
        <w:spacing w:after="120"/>
      </w:pPr>
      <w:r>
        <w:rPr>
          <w:rFonts w:ascii="Times New Roman" w:hAnsi="Times New Roman"/>
          <w:b w:val="0"/>
          <w:sz w:val="24"/>
        </w:rPr>
        <w:t>El título se construye del propósito general omitiendo el verbo, con tope de veintiuna palabras y sin subtítulo. Como el propósito cambió, el título cambia.</w:t>
      </w:r>
    </w:p>
    <w:p>
      <w:pPr>
        <w:spacing w:after="120"/>
      </w:pPr>
      <w:r>
        <w:rPr>
          <w:rFonts w:ascii="Times New Roman" w:hAnsi="Times New Roman"/>
          <w:b w:val="0"/>
          <w:sz w:val="24"/>
        </w:rPr>
        <w:t>**A, veintiuna palabras.** «Vivencia y significado de la inclusión educativa y lo socioemocional en estudiantes con dificultades de aprendizaje y sus docentes, Cereté»</w:t>
      </w:r>
    </w:p>
    <w:p>
      <w:pPr>
        <w:spacing w:after="120"/>
      </w:pPr>
      <w:r>
        <w:rPr>
          <w:rFonts w:ascii="Times New Roman" w:hAnsi="Times New Roman"/>
          <w:b w:val="0"/>
          <w:sz w:val="24"/>
        </w:rPr>
        <w:t>**B, veinte palabras.** «Prácticas de inclusión y vivencias socioemocionales de estudiantes con dificultades de aprendizaje en básica secundaria rural y urbana de Cereté»</w:t>
      </w:r>
    </w:p>
    <w:p>
      <w:pPr>
        <w:spacing w:after="120"/>
      </w:pPr>
      <w:r>
        <w:rPr>
          <w:rFonts w:ascii="Times New Roman" w:hAnsi="Times New Roman"/>
          <w:b w:val="0"/>
          <w:sz w:val="24"/>
        </w:rPr>
        <w:t>**C, dieciocho palabras.** «Inclusión educativa y vivencias socioemocionales narradas por estudiantes con dificultades de aprendizaje y sus docentes en Cereté, Córdoba»</w:t>
      </w:r>
    </w:p>
    <w:p>
      <w:pPr>
        <w:spacing w:after="120"/>
      </w:pPr>
      <w:r>
        <w:rPr>
          <w:rFonts w:ascii="Times New Roman" w:hAnsi="Times New Roman"/>
          <w:b w:val="0"/>
          <w:sz w:val="24"/>
        </w:rPr>
        <w:t>Recomiendo la B: conserva «prácticas», que es lo que sostiene tu primer propósito y tu lente de política, y nombra el nivel educativo, que es parte de tu vacío. La A es la más fiel al nuevo propósito general pero pierde el nivel; la C es la más elegante y la más corta, pero pierde las dos cosas.</w:t>
      </w:r>
    </w:p>
    <w:p>
      <w:pPr>
        <w:spacing w:before="200" w:after="80"/>
      </w:pPr>
      <w:r>
        <w:rPr>
          <w:rFonts w:ascii="Times New Roman" w:hAnsi="Times New Roman"/>
          <w:b/>
          <w:color w:val="2E5A87"/>
          <w:sz w:val="26"/>
        </w:rPr>
        <w:t>Pregunta central</w:t>
      </w:r>
    </w:p>
    <w:p>
      <w:pPr>
        <w:spacing w:after="120"/>
      </w:pPr>
      <w:r>
        <w:rPr>
          <w:rFonts w:ascii="Times New Roman" w:hAnsi="Times New Roman"/>
          <w:b w:val="0"/>
          <w:sz w:val="24"/>
        </w:rPr>
        <w:t>[[NEGRO]] ¿Cómo viven y significan los estudiantes con dificultades de aprendizaje y sus docentes las prácticas de inclusión educativa y las experiencias socioemocionales, en dos instituciones educativas, una rural y otra urbana, de Cereté, Córdoba?</w:t>
      </w:r>
    </w:p>
    <w:p>
      <w:pPr>
        <w:spacing w:before="200" w:after="80"/>
      </w:pPr>
      <w:r>
        <w:rPr>
          <w:rFonts w:ascii="Times New Roman" w:hAnsi="Times New Roman"/>
          <w:b/>
          <w:color w:val="2E5A87"/>
          <w:sz w:val="26"/>
        </w:rPr>
        <w:t>Preguntas orientadoras</w:t>
      </w:r>
    </w:p>
    <w:p>
      <w:pPr>
        <w:spacing w:after="120"/>
      </w:pPr>
      <w:r>
        <w:rPr>
          <w:rFonts w:ascii="Times New Roman" w:hAnsi="Times New Roman"/>
          <w:b w:val="0"/>
          <w:sz w:val="24"/>
        </w:rPr>
        <w:t>[[NEGRO]] 1. ¿Cómo significan los estudiantes con dificultades de aprendizaje sus experiencias de inclusión educativa?</w:t>
      </w:r>
    </w:p>
    <w:p>
      <w:pPr>
        <w:spacing w:after="120"/>
      </w:pPr>
      <w:r>
        <w:rPr>
          <w:rFonts w:ascii="Times New Roman" w:hAnsi="Times New Roman"/>
          <w:b w:val="0"/>
          <w:sz w:val="24"/>
        </w:rPr>
        <w:t>[[NEGRO]] 2. ¿Cómo narran los docentes sus experiencias y sus prácticas de inclusión educativa?</w:t>
      </w:r>
    </w:p>
    <w:p>
      <w:pPr>
        <w:spacing w:after="120"/>
      </w:pPr>
      <w:r>
        <w:rPr>
          <w:rFonts w:ascii="Times New Roman" w:hAnsi="Times New Roman"/>
          <w:b w:val="0"/>
          <w:sz w:val="24"/>
        </w:rPr>
        <w:t>[[NEGRO]] 3. ¿Cómo se viven las experiencias socioemocionales de estudiantes y docentes en el contexto de la inclusión educativa, en la institución rural y en la urbana?</w:t>
      </w:r>
    </w:p>
    <w:p>
      <w:pPr>
        <w:spacing w:after="120"/>
      </w:pPr>
      <w:r>
        <w:rPr>
          <w:rFonts w:ascii="Times New Roman" w:hAnsi="Times New Roman"/>
          <w:b w:val="0"/>
          <w:sz w:val="24"/>
        </w:rPr>
        <w:t>[[NEGRO]] 4. ¿Qué comprensiones, tensiones y particularidades emergen de las narrativas de estudiantes y docentes acerca de las experiencias de inclusión educativa y las vivencias socioemocionales?</w:t>
      </w:r>
    </w:p>
    <w:p>
      <w:pPr>
        <w:spacing w:after="120"/>
      </w:pPr>
      <w:r>
        <w:rPr>
          <w:rFonts w:ascii="Times New Roman" w:hAnsi="Times New Roman"/>
          <w:b w:val="0"/>
          <w:sz w:val="24"/>
        </w:rPr>
        <w:t>La cuarta es textual de Gledys, del minuto 82. No la toques.</w:t>
      </w:r>
    </w:p>
    <w:p>
      <w:pPr>
        <w:spacing w:before="200" w:after="80"/>
      </w:pPr>
      <w:r>
        <w:rPr>
          <w:rFonts w:ascii="Times New Roman" w:hAnsi="Times New Roman"/>
          <w:b/>
          <w:color w:val="2E5A87"/>
          <w:sz w:val="26"/>
        </w:rPr>
        <w:t>Propósitos</w:t>
      </w:r>
    </w:p>
    <w:p>
      <w:pPr>
        <w:spacing w:after="120"/>
      </w:pPr>
      <w:r>
        <w:rPr>
          <w:rFonts w:ascii="Times New Roman" w:hAnsi="Times New Roman"/>
          <w:b w:val="0"/>
          <w:sz w:val="24"/>
        </w:rPr>
        <w:t>[[NEGRO]] **General.** Comprender cómo viven y significan los estudiantes con dificultades de aprendizaje y sus docentes las prácticas de inclusión educativa y las experiencias socioemocionales, en dos instituciones educativas, una rural y otra urbana, de Cereté, Córdoba.</w:t>
      </w:r>
    </w:p>
    <w:p>
      <w:pPr>
        <w:spacing w:after="120"/>
      </w:pPr>
      <w:r>
        <w:rPr>
          <w:rFonts w:ascii="Times New Roman" w:hAnsi="Times New Roman"/>
          <w:b w:val="0"/>
          <w:sz w:val="24"/>
        </w:rPr>
        <w:t>[[NEGRO]] **Específicos.** 1. Comprender cómo los estudiantes con dificultades de aprendizaje significan sus experiencias de inclusión educativa. 2. Interpretar cómo los docentes narran sus experiencias y sus prácticas de inclusión educativa. 3. Comprender las vivencias socioemocionales de estudiantes y docentes en el contexto de la inclusión educativa, en la institución rural y en la urbana. 4. Interpretar las comprensiones, tensiones y particularidades que emergen de las narrativas, en relación con la manera en que la política de inclusión se hace experiencia en la escuela.</w:t>
      </w:r>
    </w:p>
    <w:p>
      <w:pPr>
        <w:spacing w:after="120"/>
      </w:pPr>
      <w:r>
        <w:rPr>
          <w:rFonts w:ascii="Times New Roman" w:hAnsi="Times New Roman"/>
          <w:b w:val="0"/>
          <w:sz w:val="24"/>
        </w:rPr>
        <w:t>Los cuatro son los que dictó tu asesora. Lo único que agregué es el cierre del cuarto —«en relación con la manera en que la política de inclusión se hace experiencia en la escuela»—, y ahí está tu ancla a la Línea 3. Sin esa coda, los cuatro propósitos son narrativos puros y la tesis pierde el filo político; con ella, no contradices nada de lo que ella pidió: lo completas.</w:t>
      </w:r>
    </w:p>
    <w:p>
      <w:pPr>
        <w:spacing w:before="200" w:after="80"/>
      </w:pPr>
      <w:r>
        <w:rPr>
          <w:rFonts w:ascii="Times New Roman" w:hAnsi="Times New Roman"/>
          <w:b/>
          <w:color w:val="2E5A87"/>
          <w:sz w:val="26"/>
        </w:rPr>
        <w:t>Por qué las dos instituciones en Cereté: el argumento para escribirlo</w:t>
      </w:r>
    </w:p>
    <w:p>
      <w:pPr>
        <w:spacing w:after="120"/>
      </w:pPr>
      <w:r>
        <w:rPr>
          <w:rFonts w:ascii="Times New Roman" w:hAnsi="Times New Roman"/>
          <w:b w:val="0"/>
          <w:sz w:val="24"/>
        </w:rPr>
        <w:t>[[NEGRO]] La selección de dos instituciones del mismo municipio responde a una decisión metodológica y no a una razón de acceso. Al situar ambos escenarios en Cereté, se mantienen constantes las condiciones que podrían explicar por sí solas las diferencias observadas: la misma Entidad Territorial Certificada, la misma Secretaría de Educación, la misma oferta local de servicios de salud —de la que depende el acceso al diagnóstico— y el mismo marco de políticas municipales. De este modo, la variación entre los dos escenarios se concentra en aquello que constituye el eje de interpretación del estudio: el carácter rural o urbano del contexto en el que se vive la inclusión. Un contraste entre municipios distintos habría introducido diferencias institucionales y territoriales que no podrían atribuirse con claridad a la condición rural.</w:t>
      </w:r>
    </w:p>
    <w:p>
      <w:pPr>
        <w:spacing w:before="200" w:after="80"/>
      </w:pPr>
      <w:r>
        <w:rPr>
          <w:rFonts w:ascii="Times New Roman" w:hAnsi="Times New Roman"/>
          <w:b/>
          <w:color w:val="2E5A87"/>
          <w:sz w:val="26"/>
        </w:rPr>
        <w:t>La demarcación frente al antecedente más próximo, ahora como apartado propio</w:t>
      </w:r>
    </w:p>
    <w:p>
      <w:pPr>
        <w:spacing w:after="120"/>
      </w:pPr>
      <w:r>
        <w:rPr>
          <w:rFonts w:ascii="Times New Roman" w:hAnsi="Times New Roman"/>
          <w:b w:val="0"/>
          <w:sz w:val="24"/>
        </w:rPr>
        <w:t>Esto se volvió obligatorio: al quedar tu estudio íntegramente en Cereté, la tesis de UMECIT de 2024 está en tu mismo municipio. Antes te distinguías también por territorio; ahora la distinción tiene que ser toda de objeto, y por eso conviene que sea un apartado con título propio y no un párrafo dentro de los antecedentes.</w:t>
      </w:r>
    </w:p>
    <w:p>
      <w:pPr>
        <w:spacing w:after="120"/>
      </w:pPr>
      <w:r>
        <w:rPr>
          <w:rFonts w:ascii="Times New Roman" w:hAnsi="Times New Roman"/>
          <w:b w:val="0"/>
          <w:sz w:val="24"/>
        </w:rPr>
        <w:t>[[NEGRO]] El antecedente más próximo a esta investigación es el estudio doctoral sobre habilidades sociales en educación inclusiva realizado en centros educativos rurales de Cereté (2024). Su cercanía territorial obliga a precisar la demarcación en seis puntos. Primero, el problema del que parte: aquella investigación se origina en la ausencia de profesionales idóneos que apoyen los procesos inclusivos —un problema de dotación—, mientras la presente parte del punto ciego socioemocional de la política. Segundo, el corpus: aquella se construye con treinta y cuatro docentes entrevistados, mientras esta sitúa la voz del estudiante como centro. Tercero, el objeto: aquella aborda las habilidades sociales como capacidad a desarrollar, mientras esta comprende la vivencia como asunto de reconocimiento. Cuarto, la población: aquella trabaja con estudiantes ya caracterizados en inclusión, mientras esta se ocupa de quienes presentan dificultades de aprendizaje sin diagnóstico formal. Quinto, el nivel educativo: aquella se sitúa en primaria y esta en básica secundaria. Y sexto, el modo de acceder a la voz docente: aquella recoge las dificultades que los docentes declaran para implementar la inclusión, mediante instrumentos estructurados, mientras esta reconstruye sus relatos de vida sobre la práctica de inclusión con esos mismos estudiantes; no se trata de consultar al docente sobre un proceso, sino de comprender cómo narra su experiencia de enseñar a quienes viven ese proceso. La proximidad geográfica, lejos de debilitar la pertinencia de este estudio, la refuerza: constituye evidencia doctoral, producida en el mismo municipio, de que las prácticas de inclusión se encuentran alejadas de las necesidades de esta población.</w:t>
      </w:r>
    </w:p>
    <w:p>
      <w:pPr>
        <w:spacing w:before="200" w:after="80"/>
      </w:pPr>
      <w:r>
        <w:rPr>
          <w:rFonts w:ascii="Times New Roman" w:hAnsi="Times New Roman"/>
          <w:b/>
          <w:color w:val="2E5A87"/>
          <w:sz w:val="26"/>
        </w:rPr>
        <w:t>Ocho criterios que le sirven a tu trabajo, tomados de las devoluciones del asesor de Delsy</w:t>
      </w:r>
    </w:p>
    <w:p>
      <w:pPr>
        <w:spacing w:after="120"/>
      </w:pPr>
      <w:r>
        <w:rPr>
          <w:rFonts w:ascii="Times New Roman" w:hAnsi="Times New Roman"/>
          <w:b w:val="0"/>
          <w:sz w:val="24"/>
        </w:rPr>
        <w:t>Aclaro de entrada: aquí no hay una sola idea del tema de ella. Lo que tomo son criterios de método y de forma, que son transferibles y que ese asesor exige con razón. Y coinciden con lo que un jurado internacional busca.</w:t>
      </w:r>
    </w:p>
    <w:p>
      <w:pPr>
        <w:spacing w:after="120"/>
      </w:pPr>
      <w:r>
        <w:rPr>
          <w:rFonts w:ascii="Times New Roman" w:hAnsi="Times New Roman"/>
          <w:b w:val="0"/>
          <w:sz w:val="24"/>
        </w:rPr>
        <w:t>**1. Perspectiva internacionalizada: ninguna sigla sin explicar.** Es el que más te aplica. Tu texto usa DUA, PIAR, SIMAT, PEI, ETC. Un lector fuera de Colombia no sabe qué son. Cada una debe aparecer desarrollada la primera vez, con una línea de qué es y de qué norma sale. No es cosmética: es lo que separa una tesis legible por un jurado internacional de un informe local.</w:t>
      </w:r>
    </w:p>
    <w:p>
      <w:pPr>
        <w:spacing w:after="120"/>
      </w:pPr>
      <w:r>
        <w:rPr>
          <w:rFonts w:ascii="Times New Roman" w:hAnsi="Times New Roman"/>
          <w:b w:val="0"/>
          <w:sz w:val="24"/>
        </w:rPr>
        <w:t>**2. Ninguna aseveración teórica sin referencia.** Él usa la palabra plagio para prevenir, no para acusar. Revisa el Capítulo I: cada afirmación que suene a teoría —«la inclusión es un asunto de justicia», «lo socioemocional se ha entendido como competencia»— necesita su fuente.</w:t>
      </w:r>
    </w:p>
    <w:p>
      <w:pPr>
        <w:spacing w:after="120"/>
      </w:pPr>
      <w:r>
        <w:rPr>
          <w:rFonts w:ascii="Times New Roman" w:hAnsi="Times New Roman"/>
          <w:b w:val="0"/>
          <w:sz w:val="24"/>
        </w:rPr>
        <w:t>**3. Metodología de búsqueda replicable.** Tu estado del arte debe decir en qué bases buscaste, con qué descriptores, con qué filtros y en qué fechas, de modo que cualquiera pueda repetir la búsqueda y llegar a lo mismo. Eso es lo que él llama carácter científico. Tú ya tienes el procedimiento, pero está disperso: hay que escribirlo como apartado.</w:t>
      </w:r>
    </w:p>
    <w:p>
      <w:pPr>
        <w:spacing w:after="120"/>
      </w:pPr>
      <w:r>
        <w:rPr>
          <w:rFonts w:ascii="Times New Roman" w:hAnsi="Times New Roman"/>
          <w:b w:val="0"/>
          <w:sz w:val="24"/>
        </w:rPr>
        <w:t>**4. Diagrama de flujo de la revisión.** Resultados iniciales, criterios de cribado, textos excluidos y por qué, textos que quedan. Tu embudo de treinta y dos a ocho, a uno, a cero ya es eso: solo falta dibujarlo. Te lo armo cuando digas.</w:t>
      </w:r>
    </w:p>
    <w:p>
      <w:pPr>
        <w:spacing w:after="120"/>
      </w:pPr>
      <w:r>
        <w:rPr>
          <w:rFonts w:ascii="Times New Roman" w:hAnsi="Times New Roman"/>
          <w:b w:val="0"/>
          <w:sz w:val="24"/>
        </w:rPr>
        <w:t>**5. Sin ese flujo, se cuestiona la existencia de los textos.** Textual de él. Tú declaras sesenta y una tesis doctorales revisadas: sin el diagrama, ese número es una afirmación; con el diagrama, es un procedimiento.</w:t>
      </w:r>
    </w:p>
    <w:p>
      <w:pPr>
        <w:spacing w:after="120"/>
      </w:pPr>
      <w:r>
        <w:rPr>
          <w:rFonts w:ascii="Times New Roman" w:hAnsi="Times New Roman"/>
          <w:b w:val="0"/>
          <w:sz w:val="24"/>
        </w:rPr>
        <w:t>**6. Distinguir bases de datos de literatura gris.** Tus repositorios institucionales son literatura gris. Hay que decirlo y justificar por qué se incluyen: porque las tesis doctorales colombianas no están indexadas con DOI. Declararlo es rigor; callarlo es un flanco.</w:t>
      </w:r>
    </w:p>
    <w:p>
      <w:pPr>
        <w:spacing w:after="120"/>
      </w:pPr>
      <w:r>
        <w:rPr>
          <w:rFonts w:ascii="Times New Roman" w:hAnsi="Times New Roman"/>
          <w:b w:val="0"/>
          <w:sz w:val="24"/>
        </w:rPr>
        <w:t>**7. Develar teóricamente el concepto central, no solo con estudios empíricos.** Este es el más exigente y el que más peso doctoral te da. Él le pidió a su doctoranda mostrar quiénes y cómo hablan del concepto desde las corrientes de las ciencias sociales, explícitamente sin apoyarse en estudios empíricos. A ti te toca hacerlo con «socioemocionalidad»: qué dice de ella la teoría del reconocimiento, qué dice el enfoque de capacidades, qué dice el marco de competencias que tú criticas. Hoy tu Capítulo II lo tiene esbozado; conviene volverlo una discusión teórica explícita.</w:t>
      </w:r>
    </w:p>
    <w:p>
      <w:pPr>
        <w:spacing w:after="120"/>
      </w:pPr>
      <w:r>
        <w:rPr>
          <w:rFonts w:ascii="Times New Roman" w:hAnsi="Times New Roman"/>
          <w:b w:val="0"/>
          <w:sz w:val="24"/>
        </w:rPr>
        <w:t>**8. Que no se lea como diagnóstico.** Él le preguntó a su doctoranda qué hace especial ese contexto. A ti te van a preguntar lo mismo, y tienes con qué responder: no describes el estado de dos colegios, comprendes cómo una política nacional se hace experiencia en dos contextos distintos del mismo municipio. Conviene que esa frase esté escrita en la justificación, no solo en tu cabeza.</w:t>
      </w:r>
    </w:p>
    <w:p>
      <w:pPr>
        <w:spacing w:before="200" w:after="80"/>
      </w:pPr>
      <w:r>
        <w:rPr>
          <w:rFonts w:ascii="Times New Roman" w:hAnsi="Times New Roman"/>
          <w:b/>
          <w:color w:val="2E5A87"/>
          <w:sz w:val="26"/>
        </w:rPr>
        <w:t>Qué sigue, y quién lo hace</w:t>
      </w:r>
    </w:p>
    <w:p>
      <w:pPr>
        <w:spacing w:after="120"/>
      </w:pPr>
      <w:r>
        <w:rPr>
          <w:rFonts w:ascii="Times New Roman" w:hAnsi="Times New Roman"/>
          <w:b w:val="0"/>
          <w:sz w:val="24"/>
        </w:rPr>
        <w:t>Yo aplico en los documentos: el título que elijas, la pregunta, las orientadoras, los propósitos, los dos apartados nuevos y la revisión de siglas.</w:t>
      </w:r>
    </w:p>
    <w:p>
      <w:pPr>
        <w:spacing w:after="120"/>
      </w:pPr>
      <w:r>
        <w:rPr>
          <w:rFonts w:ascii="Times New Roman" w:hAnsi="Times New Roman"/>
          <w:b w:val="0"/>
          <w:sz w:val="24"/>
        </w:rPr>
        <w:t>Tú resuelves: el nombre exacto de la institución urbana —confírmalo en el PEI, porque puede ser Marceliano y no Marcelino—, los dos párrafos de la Actividad 3, los tres marcadores de la Actividad 4 y las seis dimensiones de cada antecedente.</w:t>
      </w:r>
    </w:p>
    <w:p>
      <w:pPr>
        <w:spacing w:after="120"/>
      </w:pPr>
      <w:r>
        <w:rPr>
          <w:rFonts w:ascii="Times New Roman" w:hAnsi="Times New Roman"/>
          <w:b w:val="0"/>
          <w:sz w:val="24"/>
        </w:rPr>
        <w:t>Y lo que decidimos juntos cuando me digas: si armamos el diagrama de flujo de la revisión y si desarrollamos la discusión teórica de la socioemocionalidad como apartado propio del Capítulo II.</w:t>
      </w:r>
    </w:p>
    <w:p>
      <w:pPr>
        <w:spacing w:before="200" w:after="80"/>
      </w:pPr>
      <w:r>
        <w:rPr>
          <w:rFonts w:ascii="Times New Roman" w:hAnsi="Times New Roman"/>
          <w:b/>
          <w:color w:val="2E5A87"/>
          <w:sz w:val="26"/>
        </w:rPr>
        <w:t>SUSTENTACIÓN (solo para ti — borrar antes de compartir)</w:t>
      </w:r>
    </w:p>
    <w:p>
      <w:pPr>
        <w:spacing w:after="120"/>
      </w:pPr>
      <w:r>
        <w:rPr>
          <w:rFonts w:ascii="Times New Roman" w:hAnsi="Times New Roman"/>
          <w:b w:val="0"/>
          <w:sz w:val="24"/>
        </w:rPr>
        <w:t>Por qué no toqué nada más. Me diste permiso amplio, pero las decisiones que ya cerraste —el corpus de seis y cuatro, la salida de los lineamientos, el número de instituciones— no las muevo por iniciativa mía. Lo que cambié sale de tu asesora, de tu decisión sobre Cereté o de la nomenclatura del Ministerio.</w:t>
      </w:r>
    </w:p>
    <w:p>
      <w:pPr>
        <w:spacing w:after="120"/>
      </w:pPr>
      <w:r>
        <w:rPr>
          <w:rFonts w:ascii="Times New Roman" w:hAnsi="Times New Roman"/>
          <w:b w:val="0"/>
          <w:sz w:val="24"/>
        </w:rPr>
        <w:t>Por qué insisto con la coda del cuarto propósito. Porque es el único lugar donde queda escrita tu lente de política después de la reescritura narrativa. Si algún día alguien te pide quitarla, lo que se cae no es una frase: es la razón por la que tu tesis está en la Línea 3 y no en otra.</w:t>
      </w:r>
    </w:p>
    <w:p>
      <w:pPr>
        <w:spacing w:after="120"/>
      </w:pPr>
      <w:r>
        <w:rPr>
          <w:rFonts w:ascii="Times New Roman" w:hAnsi="Times New Roman"/>
          <w:b w:val="0"/>
          <w:sz w:val="24"/>
        </w:rPr>
        <w:t>Sobre los criterios del asesor de Delsy. Los ocho son de método. No hay una línea de su objeto de estudio en tu trabajo, ni la va a haber. Te los traigo porque ese asesor es exigente en lo que un jurado internacional revisa primero, y porque los puntos tres, cuatro y cinco —búsqueda replicable, diagrama de flujo y la existencia comprobable de los textos— son exactamente donde tu estado del arte hoy es más vulnerable.</w:t>
      </w:r>
    </w:p>
    <w:p>
      <w:pPr>
        <w:spacing w:after="120"/>
      </w:pPr>
      <w:r>
        <w:rPr>
          <w:rFonts w:ascii="Times New Roman" w:hAnsi="Times New Roman"/>
          <w:b w:val="0"/>
          <w:sz w:val="24"/>
        </w:rPr>
        <w:t>Y una observación sobre el título. Las tres opciones cumplen la norma, pero fíjate en lo que pierde cada una. En un título doctoral cada palabra que sacas es una delimitación que dejas de declarar: si sale «básica secundaria», el nivel deja de estar protegido y cualquiera puede preguntarte por qué no incluiste primaria.</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