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50F3C" w14:textId="77777777" w:rsidR="00367864" w:rsidRPr="00094E71" w:rsidRDefault="00367864" w:rsidP="00367864">
      <w:pPr>
        <w:spacing w:after="412" w:line="259" w:lineRule="auto"/>
        <w:ind w:left="782"/>
        <w:jc w:val="center"/>
        <w:rPr>
          <w:b/>
          <w:bCs/>
        </w:rPr>
      </w:pPr>
      <w:r w:rsidRPr="00094E71">
        <w:rPr>
          <w:b/>
          <w:bCs/>
        </w:rPr>
        <w:t>Apartados faltantes de la propuesta y alcance del estado del arte</w:t>
      </w:r>
    </w:p>
    <w:p w14:paraId="24C5878C" w14:textId="77777777" w:rsidR="007A169E" w:rsidRPr="007A169E" w:rsidRDefault="007A169E" w:rsidP="007A169E">
      <w:pPr>
        <w:jc w:val="center"/>
        <w:rPr>
          <w:rFonts w:ascii="Times New Roman" w:hAnsi="Times New Roman" w:cs="Times New Roman"/>
        </w:rPr>
      </w:pPr>
    </w:p>
    <w:p w14:paraId="48EDC207" w14:textId="77777777" w:rsidR="007A169E" w:rsidRPr="007A169E" w:rsidRDefault="007A169E" w:rsidP="007A169E">
      <w:pPr>
        <w:jc w:val="center"/>
        <w:rPr>
          <w:rFonts w:ascii="Times New Roman" w:hAnsi="Times New Roman" w:cs="Times New Roman"/>
        </w:rPr>
      </w:pPr>
    </w:p>
    <w:p w14:paraId="64395AE9" w14:textId="52262FE2" w:rsidR="007A169E" w:rsidRPr="007A169E" w:rsidRDefault="007A169E" w:rsidP="007A169E">
      <w:pPr>
        <w:jc w:val="center"/>
        <w:rPr>
          <w:rFonts w:ascii="Times New Roman" w:hAnsi="Times New Roman" w:cs="Times New Roman"/>
        </w:rPr>
      </w:pPr>
    </w:p>
    <w:p w14:paraId="07618AB8" w14:textId="1E07DA87" w:rsidR="007A169E" w:rsidRPr="007A169E" w:rsidRDefault="007A169E" w:rsidP="007A169E">
      <w:pPr>
        <w:jc w:val="center"/>
        <w:rPr>
          <w:rFonts w:ascii="Times New Roman" w:hAnsi="Times New Roman" w:cs="Times New Roman"/>
        </w:rPr>
      </w:pPr>
      <w:r w:rsidRPr="007A169E">
        <w:rPr>
          <w:rFonts w:ascii="Times New Roman" w:hAnsi="Times New Roman" w:cs="Times New Roman"/>
        </w:rPr>
        <w:t>Delsy Lucia Segura Julio</w:t>
      </w:r>
    </w:p>
    <w:p w14:paraId="441361CD" w14:textId="2E573653" w:rsidR="007A169E" w:rsidRPr="007A169E" w:rsidRDefault="007A169E" w:rsidP="007A169E">
      <w:pPr>
        <w:jc w:val="center"/>
        <w:rPr>
          <w:rFonts w:ascii="Times New Roman" w:hAnsi="Times New Roman" w:cs="Times New Roman"/>
        </w:rPr>
      </w:pPr>
    </w:p>
    <w:p w14:paraId="369BCEB7" w14:textId="77777777" w:rsidR="007A169E" w:rsidRDefault="007A169E" w:rsidP="007A169E">
      <w:pPr>
        <w:jc w:val="center"/>
        <w:rPr>
          <w:rFonts w:ascii="Times New Roman" w:hAnsi="Times New Roman" w:cs="Times New Roman"/>
        </w:rPr>
      </w:pPr>
    </w:p>
    <w:p w14:paraId="5D9D5D88" w14:textId="77777777" w:rsidR="000609AD" w:rsidRPr="007A169E" w:rsidRDefault="000609AD" w:rsidP="007A169E">
      <w:pPr>
        <w:jc w:val="center"/>
        <w:rPr>
          <w:rFonts w:ascii="Times New Roman" w:hAnsi="Times New Roman" w:cs="Times New Roman"/>
        </w:rPr>
      </w:pPr>
    </w:p>
    <w:p w14:paraId="08B51391" w14:textId="4184A47C" w:rsidR="007A169E" w:rsidRPr="00367864" w:rsidRDefault="007A169E" w:rsidP="007A169E">
      <w:pPr>
        <w:jc w:val="center"/>
        <w:rPr>
          <w:rFonts w:ascii="Times New Roman" w:hAnsi="Times New Roman" w:cs="Times New Roman"/>
          <w:lang w:val="en-US"/>
        </w:rPr>
      </w:pPr>
      <w:r w:rsidRPr="00367864">
        <w:rPr>
          <w:rFonts w:ascii="Times New Roman" w:hAnsi="Times New Roman" w:cs="Times New Roman"/>
          <w:lang w:val="en-US"/>
        </w:rPr>
        <w:t xml:space="preserve">Departamento de </w:t>
      </w:r>
      <w:proofErr w:type="spellStart"/>
      <w:r w:rsidRPr="00367864">
        <w:rPr>
          <w:rFonts w:ascii="Times New Roman" w:hAnsi="Times New Roman" w:cs="Times New Roman"/>
          <w:lang w:val="en-US"/>
        </w:rPr>
        <w:t>educación</w:t>
      </w:r>
      <w:proofErr w:type="spellEnd"/>
      <w:r w:rsidRPr="00367864">
        <w:rPr>
          <w:rFonts w:ascii="Times New Roman" w:hAnsi="Times New Roman" w:cs="Times New Roman"/>
          <w:lang w:val="en-US"/>
        </w:rPr>
        <w:t>, University of Technology and Education</w:t>
      </w:r>
    </w:p>
    <w:p w14:paraId="25BC468B" w14:textId="18A6F135" w:rsidR="007A169E" w:rsidRPr="00367864" w:rsidRDefault="007A169E" w:rsidP="007A169E">
      <w:pPr>
        <w:jc w:val="center"/>
        <w:rPr>
          <w:rFonts w:ascii="Times New Roman" w:hAnsi="Times New Roman" w:cs="Times New Roman"/>
          <w:lang w:val="en-US"/>
        </w:rPr>
      </w:pPr>
    </w:p>
    <w:p w14:paraId="42EB040F" w14:textId="57802EA8" w:rsidR="007A169E" w:rsidRPr="00367864" w:rsidRDefault="007A169E" w:rsidP="007A169E">
      <w:pPr>
        <w:jc w:val="center"/>
        <w:rPr>
          <w:rFonts w:ascii="Times New Roman" w:hAnsi="Times New Roman" w:cs="Times New Roman"/>
          <w:lang w:val="en-US"/>
        </w:rPr>
      </w:pPr>
    </w:p>
    <w:p w14:paraId="51070BCA" w14:textId="77777777" w:rsidR="000609AD" w:rsidRPr="00367864" w:rsidRDefault="000609AD" w:rsidP="007A169E">
      <w:pPr>
        <w:jc w:val="center"/>
        <w:rPr>
          <w:rFonts w:ascii="Times New Roman" w:hAnsi="Times New Roman" w:cs="Times New Roman"/>
          <w:lang w:val="en-US"/>
        </w:rPr>
      </w:pPr>
    </w:p>
    <w:p w14:paraId="0F8CBC34" w14:textId="77777777" w:rsidR="000609AD" w:rsidRPr="00367864" w:rsidRDefault="000609AD" w:rsidP="007A169E">
      <w:pPr>
        <w:jc w:val="center"/>
        <w:rPr>
          <w:rFonts w:ascii="Times New Roman" w:hAnsi="Times New Roman" w:cs="Times New Roman"/>
          <w:lang w:val="en-US"/>
        </w:rPr>
      </w:pPr>
    </w:p>
    <w:p w14:paraId="4D078AD1" w14:textId="6B8AC9E8" w:rsidR="007A169E" w:rsidRPr="007A169E" w:rsidRDefault="007A169E" w:rsidP="007A169E">
      <w:pPr>
        <w:jc w:val="center"/>
        <w:rPr>
          <w:rFonts w:ascii="Times New Roman" w:hAnsi="Times New Roman" w:cs="Times New Roman"/>
        </w:rPr>
      </w:pPr>
      <w:r w:rsidRPr="007A169E">
        <w:rPr>
          <w:rFonts w:ascii="Times New Roman" w:hAnsi="Times New Roman" w:cs="Times New Roman"/>
        </w:rPr>
        <w:t>Construcción y justificación del problema de investigación.</w:t>
      </w:r>
    </w:p>
    <w:p w14:paraId="356545D3" w14:textId="4670B22E" w:rsidR="007A169E" w:rsidRDefault="007A169E" w:rsidP="007A169E">
      <w:pPr>
        <w:jc w:val="center"/>
        <w:rPr>
          <w:rFonts w:ascii="Times New Roman" w:hAnsi="Times New Roman" w:cs="Times New Roman"/>
        </w:rPr>
      </w:pPr>
    </w:p>
    <w:p w14:paraId="0D12D4FF" w14:textId="77777777" w:rsidR="000609AD" w:rsidRDefault="000609AD" w:rsidP="007A169E">
      <w:pPr>
        <w:jc w:val="center"/>
        <w:rPr>
          <w:rFonts w:ascii="Times New Roman" w:hAnsi="Times New Roman" w:cs="Times New Roman"/>
        </w:rPr>
      </w:pPr>
    </w:p>
    <w:p w14:paraId="61AF9F2C" w14:textId="77777777" w:rsidR="000609AD" w:rsidRPr="007A169E" w:rsidRDefault="000609AD" w:rsidP="007A169E">
      <w:pPr>
        <w:jc w:val="center"/>
        <w:rPr>
          <w:rFonts w:ascii="Times New Roman" w:hAnsi="Times New Roman" w:cs="Times New Roman"/>
        </w:rPr>
      </w:pPr>
    </w:p>
    <w:p w14:paraId="09347796" w14:textId="6C7073F0" w:rsidR="007A169E" w:rsidRPr="007A169E" w:rsidRDefault="007A169E" w:rsidP="007A169E">
      <w:pPr>
        <w:jc w:val="center"/>
        <w:rPr>
          <w:rFonts w:ascii="Times New Roman" w:hAnsi="Times New Roman" w:cs="Times New Roman"/>
        </w:rPr>
      </w:pPr>
      <w:r w:rsidRPr="007A169E">
        <w:rPr>
          <w:rFonts w:ascii="Times New Roman" w:hAnsi="Times New Roman" w:cs="Times New Roman"/>
        </w:rPr>
        <w:t>Dr. Claudio Díaz Herrera</w:t>
      </w:r>
    </w:p>
    <w:p w14:paraId="3CDC775B" w14:textId="311CA73D" w:rsidR="007A169E" w:rsidRPr="007A169E" w:rsidRDefault="007A169E" w:rsidP="007A169E">
      <w:pPr>
        <w:jc w:val="center"/>
        <w:rPr>
          <w:rFonts w:ascii="Times New Roman" w:hAnsi="Times New Roman" w:cs="Times New Roman"/>
        </w:rPr>
      </w:pPr>
    </w:p>
    <w:p w14:paraId="70DBAAEF" w14:textId="33489C1D" w:rsidR="007A169E" w:rsidRDefault="007A169E" w:rsidP="007A169E">
      <w:pPr>
        <w:jc w:val="center"/>
        <w:rPr>
          <w:rFonts w:ascii="Times New Roman" w:hAnsi="Times New Roman" w:cs="Times New Roman"/>
        </w:rPr>
      </w:pPr>
    </w:p>
    <w:p w14:paraId="666AC91A" w14:textId="77777777" w:rsidR="000609AD" w:rsidRDefault="000609AD" w:rsidP="007A169E">
      <w:pPr>
        <w:jc w:val="center"/>
        <w:rPr>
          <w:rFonts w:ascii="Times New Roman" w:hAnsi="Times New Roman" w:cs="Times New Roman"/>
        </w:rPr>
      </w:pPr>
    </w:p>
    <w:p w14:paraId="7AA262B2" w14:textId="77777777" w:rsidR="000609AD" w:rsidRDefault="000609AD" w:rsidP="007A169E">
      <w:pPr>
        <w:jc w:val="center"/>
        <w:rPr>
          <w:rFonts w:ascii="Times New Roman" w:hAnsi="Times New Roman" w:cs="Times New Roman"/>
        </w:rPr>
      </w:pPr>
    </w:p>
    <w:p w14:paraId="2711102C" w14:textId="77777777" w:rsidR="000609AD" w:rsidRPr="007A169E" w:rsidRDefault="000609AD" w:rsidP="007A169E">
      <w:pPr>
        <w:jc w:val="center"/>
        <w:rPr>
          <w:rFonts w:ascii="Times New Roman" w:hAnsi="Times New Roman" w:cs="Times New Roman"/>
        </w:rPr>
      </w:pPr>
    </w:p>
    <w:p w14:paraId="3CC1A22D" w14:textId="36397A9A" w:rsidR="0078151B" w:rsidRDefault="007A169E" w:rsidP="007A169E">
      <w:pPr>
        <w:jc w:val="center"/>
        <w:rPr>
          <w:rFonts w:ascii="Times New Roman" w:hAnsi="Times New Roman" w:cs="Times New Roman"/>
        </w:rPr>
      </w:pPr>
      <w:r w:rsidRPr="007A169E">
        <w:rPr>
          <w:rFonts w:ascii="Times New Roman" w:hAnsi="Times New Roman" w:cs="Times New Roman"/>
        </w:rPr>
        <w:t>Agosto de 2026</w:t>
      </w:r>
    </w:p>
    <w:p w14:paraId="257A0A16" w14:textId="55E1C3DC" w:rsidR="000609AD" w:rsidRDefault="000609AD" w:rsidP="00367864">
      <w:pPr>
        <w:tabs>
          <w:tab w:val="left" w:pos="5328"/>
        </w:tabs>
        <w:spacing w:line="360" w:lineRule="auto"/>
        <w:ind w:firstLine="720"/>
      </w:pPr>
      <w:r>
        <w:lastRenderedPageBreak/>
        <w:tab/>
      </w:r>
    </w:p>
    <w:p>
      <w:pPr>
        <w:pageBreakBefore/>
        <w:spacing w:before="200" w:after="80"/>
      </w:pPr>
      <w:r>
        <w:rPr>
          <w:rFonts w:ascii="Times New Roman" w:hAnsi="Times New Roman"/>
          <w:b/>
          <w:color w:val="2E5A87"/>
          <w:sz w:val="26"/>
        </w:rPr>
        <w:t>Cómo usar este documento</w:t>
      </w:r>
    </w:p>
    <w:p>
      <w:pPr>
        <w:spacing w:after="120"/>
      </w:pPr>
      <w:r>
        <w:rPr>
          <w:rFonts w:ascii="Times New Roman" w:hAnsi="Times New Roman"/>
          <w:b w:val="0"/>
          <w:i w:val="0"/>
          <w:sz w:val="24"/>
        </w:rPr>
        <w:t xml:space="preserve">Los tres apartados que faltaban están redactados y en negro: se copian y se pegan en su Formato de Propuesta, en el lugar que se indica en cada uno. Donde aparece algo entre </w:t>
      </w:r>
      <w:r>
        <w:rPr>
          <w:rFonts w:ascii="Times New Roman" w:hAnsi="Times New Roman"/>
          <w:b w:val="0"/>
          <w:i w:val="0"/>
          <w:color w:val="CC0000"/>
          <w:sz w:val="24"/>
        </w:rPr>
        <w:t>〔corchetes〕</w:t>
      </w:r>
      <w:r>
        <w:rPr>
          <w:rFonts w:ascii="Times New Roman" w:hAnsi="Times New Roman"/>
          <w:b w:val="0"/>
          <w:i w:val="0"/>
          <w:sz w:val="24"/>
        </w:rPr>
        <w:t xml:space="preserve"> va un dato que solo usted tiene; son pocos y están señalados.</w:t>
      </w:r>
    </w:p>
    <w:p>
      <w:pPr>
        <w:spacing w:after="120"/>
      </w:pPr>
      <w:r>
        <w:rPr>
          <w:rFonts w:ascii="Times New Roman" w:hAnsi="Times New Roman"/>
          <w:b w:val="0"/>
          <w:i w:val="0"/>
          <w:sz w:val="24"/>
        </w:rPr>
        <w:t>Al final está mi recomendación sobre el alcance del estado del arte, que es la decisión que me pidió.</w:t>
      </w:r>
    </w:p>
    <w:p>
      <w:pPr>
        <w:spacing w:before="200" w:after="80"/>
      </w:pPr>
      <w:r>
        <w:rPr>
          <w:rFonts w:ascii="Times New Roman" w:hAnsi="Times New Roman"/>
          <w:b/>
          <w:color w:val="2E5A87"/>
          <w:sz w:val="26"/>
        </w:rPr>
        <w:t>Apartado A · Consideraciones éticas</w:t>
      </w:r>
    </w:p>
    <w:p>
      <w:pPr>
        <w:spacing w:after="120"/>
      </w:pPr>
      <w:r>
        <w:rPr>
          <w:rFonts w:ascii="Times New Roman" w:hAnsi="Times New Roman"/>
          <w:b w:val="0"/>
          <w:i w:val="0"/>
          <w:sz w:val="24"/>
        </w:rPr>
        <w:t>Va después de la metodología, como punto propio. La norma pide dos subapartados y aquí están, más los dos asuntos que su diseño exige declarar.</w:t>
      </w:r>
    </w:p>
    <w:p>
      <w:pPr>
        <w:spacing w:after="160"/>
        <w:ind w:left="454" w:right="227"/>
      </w:pPr>
      <w:r>
        <w:rPr>
          <w:rFonts w:ascii="Times New Roman" w:hAnsi="Times New Roman"/>
          <w:b/>
          <w:i w:val="0"/>
          <w:color w:val="000000"/>
          <w:sz w:val="24"/>
        </w:rPr>
        <w:t>Consideraciones éticas.</w:t>
      </w:r>
      <w:r>
        <w:rPr>
          <w:rFonts w:ascii="Times New Roman" w:hAnsi="Times New Roman"/>
          <w:b w:val="0"/>
          <w:i w:val="0"/>
          <w:color w:val="000000"/>
          <w:sz w:val="24"/>
        </w:rPr>
        <w:t xml:space="preserve"> La investigación se desarrollará conforme a los principios éticos que rigen la investigación con seres humanos en el ámbito educativo: respeto por la autonomía de los participantes, beneficencia, no maleficencia y justicia. La participación será voluntaria en todos los casos y podrá revocarse en cualquier momento del proceso sin que ello acarree consecuencia alguna para el participante ni para su situación laboral en la institución.</w:t>
      </w:r>
    </w:p>
    <w:p>
      <w:pPr>
        <w:spacing w:after="160"/>
        <w:ind w:left="454" w:right="227"/>
      </w:pPr>
      <w:r>
        <w:rPr>
          <w:rFonts w:ascii="Times New Roman" w:hAnsi="Times New Roman"/>
          <w:b/>
          <w:i w:val="0"/>
          <w:color w:val="000000"/>
          <w:sz w:val="24"/>
        </w:rPr>
        <w:t>Confidencialidad y protección de datos.</w:t>
      </w:r>
      <w:r>
        <w:rPr>
          <w:rFonts w:ascii="Times New Roman" w:hAnsi="Times New Roman"/>
          <w:b w:val="0"/>
          <w:i w:val="0"/>
          <w:color w:val="000000"/>
          <w:sz w:val="24"/>
        </w:rPr>
        <w:t xml:space="preserve"> La identidad de los participantes será protegida mediante seudónimos asignados desde el momento de la transcripción, de modo que ningún registro conserve datos que permitan identificarlos. Las grabaciones, transcripciones y notas de campo se almacenarán en archivos cifrados de acceso exclusivo de la investigadora y se conservarán durante </w:t>
      </w:r>
      <w:r>
        <w:rPr>
          <w:rFonts w:ascii="Times New Roman" w:hAnsi="Times New Roman"/>
          <w:b w:val="0"/>
          <w:i w:val="0"/>
          <w:color w:val="CC0000"/>
          <w:sz w:val="24"/>
        </w:rPr>
        <w:t>〔indique el tiempo: habitualmente cinco años〕</w:t>
      </w:r>
      <w:r>
        <w:rPr>
          <w:rFonts w:ascii="Times New Roman" w:hAnsi="Times New Roman"/>
          <w:b w:val="0"/>
          <w:i w:val="0"/>
          <w:color w:val="000000"/>
          <w:sz w:val="24"/>
        </w:rPr>
        <w:t>, al cabo de los cuales serán eliminadas. En los informes y publicaciones derivados del estudio no se consignará el nombre de la institución ni el de los docentes participantes; se empleará una denominación genérica que preserve el anonimato institucional. Los datos recogidos se utilizarán únicamente con fines académicos y no serán compartidos con las instancias directivas de la institución ni con autoridades educativas.</w:t>
      </w:r>
    </w:p>
    <w:p>
      <w:pPr>
        <w:spacing w:after="160"/>
        <w:ind w:left="454" w:right="227"/>
      </w:pPr>
      <w:r>
        <w:rPr>
          <w:rFonts w:ascii="Times New Roman" w:hAnsi="Times New Roman"/>
          <w:b/>
          <w:i w:val="0"/>
          <w:color w:val="000000"/>
          <w:sz w:val="24"/>
        </w:rPr>
        <w:t>Obtención del consentimiento informado.</w:t>
      </w:r>
      <w:r>
        <w:rPr>
          <w:rFonts w:ascii="Times New Roman" w:hAnsi="Times New Roman"/>
          <w:b w:val="0"/>
          <w:i w:val="0"/>
          <w:color w:val="000000"/>
          <w:sz w:val="24"/>
        </w:rPr>
        <w:t xml:space="preserve"> Antes de iniciar la producción de información, cada participante recibirá por escrito la información relativa al propósito del estudio, los procedimientos previstos, el tiempo estimado de participación, el manejo confidencial de los datos y su derecho a retirarse en cualquier momento. El consentimiento se formalizará mediante documento firmado, del cual el participante conservará una copia. La institución otorgará, asimismo, un aval escrito para el desarrollo del estudio en sus instalaciones.</w:t>
      </w:r>
    </w:p>
    <w:p>
      <w:pPr>
        <w:spacing w:after="160"/>
        <w:ind w:left="454" w:right="227"/>
      </w:pPr>
      <w:r>
        <w:rPr>
          <w:rFonts w:ascii="Times New Roman" w:hAnsi="Times New Roman"/>
          <w:b/>
          <w:i w:val="0"/>
          <w:color w:val="000000"/>
          <w:sz w:val="24"/>
        </w:rPr>
        <w:t>Consideraciones específicas derivadas de la observación de prácticas pedagógicas.</w:t>
      </w:r>
      <w:r>
        <w:rPr>
          <w:rFonts w:ascii="Times New Roman" w:hAnsi="Times New Roman"/>
          <w:b w:val="0"/>
          <w:i w:val="0"/>
          <w:color w:val="000000"/>
          <w:sz w:val="24"/>
        </w:rPr>
        <w:t xml:space="preserve"> Dado que el diseño contempla la observación no participante de clases, se adoptan tres salvaguardas adicionales. Primera: la observación se acordará previamente con cada docente, quien conocerá su propósito y podrá solicitar que no se registre una sesión determinada. Segunda: se deja constancia expresa de que los registros no constituyen ni podrán utilizarse como valoración del desempeño docente, y de que no serán entregados a las instancias directivas ni incorporados a procesos de evaluación institucional. Tercera: la observación se centrará en la práctica pedagógica y no en los estudiantes presentes en el aula; no se registrarán sus nombres, imágenes ni datos personales, y la institución informará previamente a las familias sobre la presencia de una investigadora en el aula, conforme a sus protocolos.</w:t>
      </w:r>
    </w:p>
    <w:p>
      <w:pPr>
        <w:spacing w:after="160"/>
        <w:ind w:left="454" w:right="227"/>
      </w:pPr>
      <w:r>
        <w:rPr>
          <w:rFonts w:ascii="Times New Roman" w:hAnsi="Times New Roman"/>
          <w:b/>
          <w:i w:val="0"/>
          <w:color w:val="000000"/>
          <w:sz w:val="24"/>
        </w:rPr>
        <w:t>Reflexividad de la investigadora.</w:t>
      </w:r>
      <w:r>
        <w:rPr>
          <w:rFonts w:ascii="Times New Roman" w:hAnsi="Times New Roman"/>
          <w:b w:val="0"/>
          <w:i w:val="0"/>
          <w:color w:val="000000"/>
          <w:sz w:val="24"/>
        </w:rPr>
        <w:t xml:space="preserve"> </w:t>
      </w:r>
      <w:r>
        <w:rPr>
          <w:rFonts w:ascii="Times New Roman" w:hAnsi="Times New Roman"/>
          <w:b w:val="0"/>
          <w:i w:val="0"/>
          <w:color w:val="CC0000"/>
          <w:sz w:val="24"/>
        </w:rPr>
        <w:t>〔Si usted trabaja en la institución o en el sector, decláralo aquí〕</w:t>
      </w:r>
      <w:r>
        <w:rPr>
          <w:rFonts w:ascii="Times New Roman" w:hAnsi="Times New Roman"/>
          <w:b w:val="0"/>
          <w:i w:val="0"/>
          <w:color w:val="000000"/>
          <w:sz w:val="24"/>
        </w:rPr>
        <w:t>. Esta condición se asume explícitamente como parte del proceso: la investigadora consignará en un diario de campo sus precomprensiones y las decisiones interpretativas adoptadas, y someterá la interpretación a triangulación, de modo que la cercanía con el escenario constituya una ventaja de acceso y no una fuente de sesgo no advertido.</w:t>
      </w:r>
    </w:p>
    <w:p>
      <w:pPr>
        <w:spacing w:before="200" w:after="80"/>
      </w:pPr>
      <w:r>
        <w:rPr>
          <w:rFonts w:ascii="Times New Roman" w:hAnsi="Times New Roman"/>
          <w:b/>
          <w:color w:val="2E5A87"/>
          <w:sz w:val="26"/>
        </w:rPr>
        <w:t>Apartado B · Recursos y viabilidad</w:t>
      </w:r>
    </w:p>
    <w:p>
      <w:pPr>
        <w:spacing w:after="120"/>
      </w:pPr>
      <w:r>
        <w:rPr>
          <w:rFonts w:ascii="Times New Roman" w:hAnsi="Times New Roman"/>
          <w:b w:val="0"/>
          <w:i w:val="0"/>
          <w:sz w:val="24"/>
        </w:rPr>
        <w:t>Va al final de la metodología. Los evaluadores lo buscan aunque el formato no lo pida con ese nombre: es donde ven si el estudio se puede hacer.</w:t>
      </w:r>
    </w:p>
    <w:p>
      <w:pPr>
        <w:spacing w:after="160"/>
        <w:ind w:left="454" w:right="227"/>
      </w:pPr>
      <w:r>
        <w:rPr>
          <w:rFonts w:ascii="Times New Roman" w:hAnsi="Times New Roman"/>
          <w:b/>
          <w:i w:val="0"/>
          <w:color w:val="000000"/>
          <w:sz w:val="24"/>
        </w:rPr>
        <w:t>Viabilidad del estudio.</w:t>
      </w:r>
      <w:r>
        <w:rPr>
          <w:rFonts w:ascii="Times New Roman" w:hAnsi="Times New Roman"/>
          <w:b w:val="0"/>
          <w:i w:val="0"/>
          <w:color w:val="000000"/>
          <w:sz w:val="24"/>
        </w:rPr>
        <w:t xml:space="preserve"> El estudio es viable en el horizonte temporal del doctorado por cuatro razones. En cuanto al acceso, se cuenta con </w:t>
      </w:r>
      <w:r>
        <w:rPr>
          <w:rFonts w:ascii="Times New Roman" w:hAnsi="Times New Roman"/>
          <w:b w:val="0"/>
          <w:i w:val="0"/>
          <w:color w:val="CC0000"/>
          <w:sz w:val="24"/>
        </w:rPr>
        <w:t>〔el aval de la institución / gestiones adelantadas con la rectoría — precise cuál es su caso〕</w:t>
      </w:r>
      <w:r>
        <w:rPr>
          <w:rFonts w:ascii="Times New Roman" w:hAnsi="Times New Roman"/>
          <w:b w:val="0"/>
          <w:i w:val="0"/>
          <w:color w:val="000000"/>
          <w:sz w:val="24"/>
        </w:rPr>
        <w:t>, lo que garantiza el ingreso a los escenarios, a los participantes y a los documentos institucionales. En cuanto al alcance, el corpus previsto es acotado y analizable en profundidad. En cuanto a los recursos, las técnicas seleccionadas no requieren infraestructura costosa ni instrumentos de medición estandarizados. Y en cuanto al diseño, el estudio no contempla implementar ni evaluar una propuesta, lo que evita los ciclos de intervención que exigirían un tiempo del que no se dispone.</w:t>
      </w:r>
    </w:p>
    <w:p>
      <w:pPr>
        <w:spacing w:after="160"/>
        <w:ind w:left="454" w:right="227"/>
      </w:pPr>
      <w:r>
        <w:rPr>
          <w:rFonts w:ascii="Times New Roman" w:hAnsi="Times New Roman"/>
          <w:b/>
          <w:i w:val="0"/>
          <w:color w:val="000000"/>
          <w:sz w:val="24"/>
        </w:rPr>
        <w:t>Corpus previsto.</w:t>
      </w:r>
      <w:r>
        <w:rPr>
          <w:rFonts w:ascii="Times New Roman" w:hAnsi="Times New Roman"/>
          <w:b w:val="0"/>
          <w:i w:val="0"/>
          <w:color w:val="000000"/>
          <w:sz w:val="24"/>
        </w:rPr>
        <w:t xml:space="preserve"> Se prevé la participación de </w:t>
      </w:r>
      <w:r>
        <w:rPr>
          <w:rFonts w:ascii="Times New Roman" w:hAnsi="Times New Roman"/>
          <w:b w:val="0"/>
          <w:i w:val="0"/>
          <w:color w:val="CC0000"/>
          <w:sz w:val="24"/>
        </w:rPr>
        <w:t>〔ocho a diez〕</w:t>
      </w:r>
      <w:r>
        <w:rPr>
          <w:rFonts w:ascii="Times New Roman" w:hAnsi="Times New Roman"/>
          <w:b w:val="0"/>
          <w:i w:val="0"/>
          <w:color w:val="000000"/>
          <w:sz w:val="24"/>
        </w:rPr>
        <w:t xml:space="preserve"> docentes de áreas curriculares distintas, con una entrevista semiestructurada por participante, de entre cuarenta y sesenta minutos; </w:t>
      </w:r>
      <w:r>
        <w:rPr>
          <w:rFonts w:ascii="Times New Roman" w:hAnsi="Times New Roman"/>
          <w:b w:val="0"/>
          <w:i w:val="0"/>
          <w:color w:val="CC0000"/>
          <w:sz w:val="24"/>
        </w:rPr>
        <w:t>〔dos〕</w:t>
      </w:r>
      <w:r>
        <w:rPr>
          <w:rFonts w:ascii="Times New Roman" w:hAnsi="Times New Roman"/>
          <w:b w:val="0"/>
          <w:i w:val="0"/>
          <w:color w:val="000000"/>
          <w:sz w:val="24"/>
        </w:rPr>
        <w:t xml:space="preserve"> grupos focales de </w:t>
      </w:r>
      <w:r>
        <w:rPr>
          <w:rFonts w:ascii="Times New Roman" w:hAnsi="Times New Roman"/>
          <w:b w:val="0"/>
          <w:i w:val="0"/>
          <w:color w:val="CC0000"/>
          <w:sz w:val="24"/>
        </w:rPr>
        <w:t>〔cuatro a seis〕</w:t>
      </w:r>
      <w:r>
        <w:rPr>
          <w:rFonts w:ascii="Times New Roman" w:hAnsi="Times New Roman"/>
          <w:b w:val="0"/>
          <w:i w:val="0"/>
          <w:color w:val="000000"/>
          <w:sz w:val="24"/>
        </w:rPr>
        <w:t xml:space="preserve"> participantes cada uno; </w:t>
      </w:r>
      <w:r>
        <w:rPr>
          <w:rFonts w:ascii="Times New Roman" w:hAnsi="Times New Roman"/>
          <w:b w:val="0"/>
          <w:i w:val="0"/>
          <w:color w:val="CC0000"/>
          <w:sz w:val="24"/>
        </w:rPr>
        <w:t>〔dos〕</w:t>
      </w:r>
      <w:r>
        <w:rPr>
          <w:rFonts w:ascii="Times New Roman" w:hAnsi="Times New Roman"/>
          <w:b w:val="0"/>
          <w:i w:val="0"/>
          <w:color w:val="000000"/>
          <w:sz w:val="24"/>
        </w:rPr>
        <w:t xml:space="preserve"> sesiones de observación no participante por docente, en clases previamente acordadas; y el análisis del conjunto de documentos institucionales señalado en el apartado de técnicas. Estas cifras orientan el diseño y son ajustables según el criterio de saturación de la información, es decir, el punto en el que los nuevos registros dejan de aportar sentidos nuevos.</w:t>
      </w:r>
    </w:p>
    <w:p>
      <w:pPr>
        <w:spacing w:after="160"/>
        <w:ind w:left="454" w:right="227"/>
      </w:pPr>
      <w:r>
        <w:rPr>
          <w:rFonts w:ascii="Times New Roman" w:hAnsi="Times New Roman"/>
          <w:b/>
          <w:i w:val="0"/>
          <w:color w:val="000000"/>
          <w:sz w:val="24"/>
        </w:rPr>
        <w:t>Recursos requeridos.</w:t>
      </w:r>
      <w:r>
        <w:rPr>
          <w:rFonts w:ascii="Times New Roman" w:hAnsi="Times New Roman"/>
          <w:b w:val="0"/>
          <w:i w:val="0"/>
          <w:color w:val="000000"/>
          <w:sz w:val="24"/>
        </w:rPr>
        <w:t xml:space="preserve"> El estudio demanda recursos de baja complejidad: grabadora de voz o dispositivo equivalente para el registro de entrevistas y grupos focales; equipo de cómputo con procesador de texto y hoja de cálculo para la organización del corpus; </w:t>
      </w:r>
      <w:r>
        <w:rPr>
          <w:rFonts w:ascii="Times New Roman" w:hAnsi="Times New Roman"/>
          <w:b w:val="0"/>
          <w:i w:val="0"/>
          <w:color w:val="CC0000"/>
          <w:sz w:val="24"/>
        </w:rPr>
        <w:t>〔software de análisis cualitativo, si dispone de uno — de lo contrario, declare que el análisis se realizará mediante matrices de codificación manual, que es igualmente válido〕</w:t>
      </w:r>
      <w:r>
        <w:rPr>
          <w:rFonts w:ascii="Times New Roman" w:hAnsi="Times New Roman"/>
          <w:b w:val="0"/>
          <w:i w:val="0"/>
          <w:color w:val="000000"/>
          <w:sz w:val="24"/>
        </w:rPr>
        <w:t>; y los desplazamientos a la institución durante el trabajo de campo. La transcripción del material estará a cargo de la investigadora, lo que constituye en sí mismo una primera fase de familiarización con los datos.</w:t>
      </w:r>
    </w:p>
    <w:p>
      <w:pPr>
        <w:spacing w:after="160"/>
        <w:ind w:left="454" w:right="227"/>
      </w:pPr>
      <w:r>
        <w:rPr>
          <w:rFonts w:ascii="Times New Roman" w:hAnsi="Times New Roman"/>
          <w:b/>
          <w:i w:val="0"/>
          <w:color w:val="000000"/>
          <w:sz w:val="24"/>
        </w:rPr>
        <w:t>Cronograma general.</w:t>
      </w:r>
      <w:r>
        <w:rPr>
          <w:rFonts w:ascii="Times New Roman" w:hAnsi="Times New Roman"/>
          <w:b w:val="0"/>
          <w:i w:val="0"/>
          <w:color w:val="000000"/>
          <w:sz w:val="24"/>
        </w:rPr>
        <w:t xml:space="preserve"> </w:t>
      </w:r>
      <w:r>
        <w:rPr>
          <w:rFonts w:ascii="Times New Roman" w:hAnsi="Times New Roman"/>
          <w:b w:val="0"/>
          <w:i w:val="0"/>
          <w:color w:val="CC0000"/>
          <w:sz w:val="24"/>
        </w:rPr>
        <w:t>〔Ajústelo a las fechas de su cohorte〕</w:t>
      </w:r>
      <w:r>
        <w:rPr>
          <w:rFonts w:ascii="Times New Roman" w:hAnsi="Times New Roman"/>
          <w:b w:val="0"/>
          <w:i w:val="0"/>
          <w:color w:val="000000"/>
          <w:sz w:val="24"/>
        </w:rPr>
        <w:t xml:space="preserve">. El trabajo de campo se prevé en </w:t>
      </w:r>
      <w:r>
        <w:rPr>
          <w:rFonts w:ascii="Times New Roman" w:hAnsi="Times New Roman"/>
          <w:b w:val="0"/>
          <w:i w:val="0"/>
          <w:color w:val="CC0000"/>
          <w:sz w:val="24"/>
        </w:rPr>
        <w:t>〔el semestre que corresponda〕</w:t>
      </w:r>
      <w:r>
        <w:rPr>
          <w:rFonts w:ascii="Times New Roman" w:hAnsi="Times New Roman"/>
          <w:b w:val="0"/>
          <w:i w:val="0"/>
          <w:color w:val="000000"/>
          <w:sz w:val="24"/>
        </w:rPr>
        <w:t>, precedido por la elaboración y validación de los instrumentos y seguido por las fases de transcripción, codificación, análisis temático e interpretación, y redacción de resultados.</w:t>
      </w:r>
    </w:p>
    <w:p>
      <w:pPr>
        <w:spacing w:before="200" w:after="80"/>
      </w:pPr>
      <w:r>
        <w:rPr>
          <w:rFonts w:ascii="Times New Roman" w:hAnsi="Times New Roman"/>
          <w:b/>
          <w:color w:val="2E5A87"/>
          <w:sz w:val="26"/>
        </w:rPr>
        <w:t>Apartado C · Premisas y proposiciones</w:t>
      </w:r>
    </w:p>
    <w:p>
      <w:pPr>
        <w:spacing w:after="120"/>
      </w:pPr>
      <w:r>
        <w:rPr>
          <w:rFonts w:ascii="Times New Roman" w:hAnsi="Times New Roman"/>
          <w:b w:val="0"/>
          <w:i w:val="0"/>
          <w:sz w:val="24"/>
        </w:rPr>
        <w:t>Va dentro de la metodología, en el apartado del paradigma. La norma de la UTE lo pide expresamente para investigación cualitativa, en lugar de las hipótesis.</w:t>
      </w:r>
    </w:p>
    <w:p>
      <w:pPr>
        <w:spacing w:after="160"/>
        <w:ind w:left="454" w:right="227"/>
      </w:pPr>
      <w:r>
        <w:rPr>
          <w:rFonts w:ascii="Times New Roman" w:hAnsi="Times New Roman"/>
          <w:b/>
          <w:i w:val="0"/>
          <w:color w:val="000000"/>
          <w:sz w:val="24"/>
        </w:rPr>
        <w:t>Premisas y proposiciones.</w:t>
      </w:r>
      <w:r>
        <w:rPr>
          <w:rFonts w:ascii="Times New Roman" w:hAnsi="Times New Roman"/>
          <w:b w:val="0"/>
          <w:i w:val="0"/>
          <w:color w:val="000000"/>
          <w:sz w:val="24"/>
        </w:rPr>
        <w:t xml:space="preserve"> Por tratarse de una investigación cualitativa de carácter comprensivo, el estudio no formula hipótesis susceptibles de contrastación, sino premisas que orientan la mirada y proposiciones provisionales que serán revisadas, ampliadas o replanteadas a lo largo del proceso.</w:t>
      </w:r>
    </w:p>
    <w:p>
      <w:pPr>
        <w:spacing w:after="160"/>
        <w:ind w:left="454" w:right="227"/>
      </w:pPr>
      <w:r>
        <w:rPr>
          <w:rFonts w:ascii="Times New Roman" w:hAnsi="Times New Roman"/>
          <w:b/>
          <w:i w:val="0"/>
          <w:color w:val="000000"/>
          <w:sz w:val="24"/>
        </w:rPr>
        <w:t>Premisas.</w:t>
      </w:r>
      <w:r>
        <w:rPr>
          <w:rFonts w:ascii="Times New Roman" w:hAnsi="Times New Roman"/>
          <w:b w:val="0"/>
          <w:i w:val="0"/>
          <w:color w:val="000000"/>
          <w:sz w:val="24"/>
        </w:rPr>
        <w:t xml:space="preserve"> Primera: la formación socioemocional no constituye un contenido añadido al currículo, sino una dimensión que se configura en las prácticas pedagógicas concretas y adquiere forma según el área en que ocurre. Segunda: los docentes no aplican la transversalidad prescrita, sino que la interpretan y la recontextualizan desde los propósitos, los métodos y las tradiciones de su disciplina. Tercera: el contexto rural no opera como escenario neutro, sino como condición que participa en la manera de comprender y desarrollar la dimensión socioemocional.</w:t>
      </w:r>
    </w:p>
    <w:p>
      <w:pPr>
        <w:spacing w:after="160"/>
        <w:ind w:left="454" w:right="227"/>
      </w:pPr>
      <w:r>
        <w:rPr>
          <w:rFonts w:ascii="Times New Roman" w:hAnsi="Times New Roman"/>
          <w:b/>
          <w:i w:val="0"/>
          <w:color w:val="000000"/>
          <w:sz w:val="24"/>
        </w:rPr>
        <w:t>Proposiciones provisionales.</w:t>
      </w:r>
      <w:r>
        <w:rPr>
          <w:rFonts w:ascii="Times New Roman" w:hAnsi="Times New Roman"/>
          <w:b w:val="0"/>
          <w:i w:val="0"/>
          <w:color w:val="000000"/>
          <w:sz w:val="24"/>
        </w:rPr>
        <w:t xml:space="preserve"> Primera: es probable que coexistan, en una misma institución, formas heterogéneas de integrar la dimensión socioemocional, y que esa heterogeneidad se explique menos por la voluntad de cada docente que por la naturaleza de su área. Segunda: es probable que las tensiones entre transversalidad y especificidad disciplinar se expresen con mayor intensidad en las áreas cuya tradición epistemológica es más formalizada. Tercera: es probable que exista una distancia entre lo que los documentos institucionales declaran sobre formación integral y lo que ocurre en las prácticas cotidianas, y que esa distancia sea productiva para comprender el fenómeno y no solo un déficit de implementación.</w:t>
      </w:r>
    </w:p>
    <w:p>
      <w:pPr>
        <w:spacing w:before="200" w:after="80"/>
      </w:pPr>
      <w:r>
        <w:rPr>
          <w:rFonts w:ascii="Times New Roman" w:hAnsi="Times New Roman"/>
          <w:b/>
          <w:color w:val="2E5A87"/>
          <w:sz w:val="26"/>
        </w:rPr>
        <w:t>Mi recomendación sobre el alcance del estado del arte</w:t>
      </w:r>
    </w:p>
    <w:p>
      <w:pPr>
        <w:spacing w:after="120"/>
      </w:pPr>
      <w:r>
        <w:rPr>
          <w:rFonts w:ascii="Times New Roman" w:hAnsi="Times New Roman"/>
          <w:b w:val="0"/>
          <w:i w:val="0"/>
          <w:sz w:val="24"/>
        </w:rPr>
        <w:t>Usted me pidió que no abarque demasiado y que sea más específico. Le explico primero un riesgo, porque la respuesta obvia no es la correcta.</w:t>
      </w:r>
    </w:p>
    <w:p>
      <w:pPr>
        <w:spacing w:after="120"/>
      </w:pPr>
      <w:r>
        <w:rPr>
          <w:rFonts w:ascii="Times New Roman" w:hAnsi="Times New Roman"/>
          <w:b w:val="0"/>
          <w:i w:val="0"/>
          <w:sz w:val="24"/>
        </w:rPr>
        <w:t>Si el alcance se estrecha demasiado —solo transversalización socioemocional, en áreas disciplinares, en zonas rurales— no va a encontrar veinticinco investigaciones. La norma pide ese mínimo, de los últimos cinco años y con énfasis doctoral. Un estado del arte de doce trabajos no se objeta por específico: se objeta por insuficiente.</w:t>
      </w:r>
    </w:p>
    <w:p>
      <w:pPr>
        <w:spacing w:after="120"/>
      </w:pPr>
      <w:r>
        <w:rPr>
          <w:rFonts w:ascii="Times New Roman" w:hAnsi="Times New Roman"/>
          <w:b w:val="0"/>
          <w:i w:val="0"/>
          <w:sz w:val="24"/>
        </w:rPr>
        <w:t>Y si se abre a «formación socioemocional en educación» pasa lo contrario: miles de resultados, la mayoría sobre programas de competencias y bienestar, que no dialogan con su objeto y que además la acercarían al terreno de otros trabajos del programa.</w:t>
      </w:r>
    </w:p>
    <w:p>
      <w:pPr>
        <w:spacing w:after="120"/>
      </w:pPr>
      <w:r>
        <w:rPr>
          <w:rFonts w:ascii="Times New Roman" w:hAnsi="Times New Roman"/>
          <w:b w:val="0"/>
          <w:i w:val="0"/>
          <w:sz w:val="24"/>
        </w:rPr>
        <w:t xml:space="preserve">La salida no es un tema más estrecho: es </w:t>
      </w:r>
      <w:r>
        <w:rPr>
          <w:rFonts w:ascii="Times New Roman" w:hAnsi="Times New Roman"/>
          <w:b/>
          <w:i w:val="0"/>
          <w:sz w:val="24"/>
        </w:rPr>
        <w:t>un criterio de cruce</w:t>
      </w:r>
      <w:r>
        <w:rPr>
          <w:rFonts w:ascii="Times New Roman" w:hAnsi="Times New Roman"/>
          <w:b w:val="0"/>
          <w:i w:val="0"/>
          <w:sz w:val="24"/>
        </w:rPr>
        <w:t>. Le propongo esto:</w:t>
      </w:r>
    </w:p>
    <w:p>
      <w:pPr>
        <w:spacing w:after="120"/>
      </w:pPr>
      <w:r>
        <w:rPr>
          <w:rFonts w:ascii="Times New Roman" w:hAnsi="Times New Roman"/>
          <w:b/>
          <w:i w:val="0"/>
          <w:sz w:val="24"/>
        </w:rPr>
        <w:t>Regla de inclusión.</w:t>
      </w:r>
      <w:r>
        <w:rPr>
          <w:rFonts w:ascii="Times New Roman" w:hAnsi="Times New Roman"/>
          <w:b w:val="0"/>
          <w:i w:val="0"/>
          <w:sz w:val="24"/>
        </w:rPr>
        <w:t xml:space="preserve"> Entra en la matriz todo estudio que cruce al menos dos de estos tres ejes: (1) formación socioemocional; (2) currículo, transversalidad o didácticas específicas; (3) prácticas y significados docentes. Lo que solo toca un eje, no entra.</w:t>
      </w:r>
    </w:p>
    <w:p>
      <w:pPr>
        <w:spacing w:after="120"/>
      </w:pPr>
      <w:r>
        <w:rPr>
          <w:rFonts w:ascii="Times New Roman" w:hAnsi="Times New Roman"/>
          <w:b/>
          <w:i w:val="0"/>
          <w:sz w:val="24"/>
        </w:rPr>
        <w:t>Organización en tres anillos</w:t>
      </w:r>
      <w:r>
        <w:rPr>
          <w:rFonts w:ascii="Times New Roman" w:hAnsi="Times New Roman"/>
          <w:b w:val="0"/>
          <w:i w:val="0"/>
          <w:sz w:val="24"/>
        </w:rPr>
        <w:t>, del centro hacia afuera:</w:t>
      </w:r>
    </w:p>
    <w:p>
      <w:pPr>
        <w:spacing w:after="120"/>
      </w:pPr>
      <w:r>
        <w:rPr>
          <w:rFonts w:ascii="Times New Roman" w:hAnsi="Times New Roman"/>
          <w:b w:val="0"/>
          <w:i w:val="0"/>
          <w:sz w:val="24"/>
        </w:rPr>
        <w:t xml:space="preserve">▸ </w:t>
      </w:r>
      <w:r>
        <w:rPr>
          <w:rFonts w:ascii="Times New Roman" w:hAnsi="Times New Roman"/>
          <w:b/>
          <w:i w:val="0"/>
          <w:sz w:val="24"/>
        </w:rPr>
        <w:t>Núcleo.</w:t>
      </w:r>
      <w:r>
        <w:rPr>
          <w:rFonts w:ascii="Times New Roman" w:hAnsi="Times New Roman"/>
          <w:b w:val="0"/>
          <w:i w:val="0"/>
          <w:sz w:val="24"/>
        </w:rPr>
        <w:t xml:space="preserve"> Integración o transversalización de lo socioemocional en áreas disciplinares. Es donde debería estar su vacío y donde probablemente encuentre poco: eso no es un problema, es su hallazgo.</w:t>
      </w:r>
    </w:p>
    <w:p>
      <w:pPr>
        <w:spacing w:after="120"/>
      </w:pPr>
      <w:r>
        <w:rPr>
          <w:rFonts w:ascii="Times New Roman" w:hAnsi="Times New Roman"/>
          <w:b w:val="0"/>
          <w:i w:val="0"/>
          <w:sz w:val="24"/>
        </w:rPr>
        <w:t xml:space="preserve">▸ </w:t>
      </w:r>
      <w:r>
        <w:rPr>
          <w:rFonts w:ascii="Times New Roman" w:hAnsi="Times New Roman"/>
          <w:b/>
          <w:i w:val="0"/>
          <w:sz w:val="24"/>
        </w:rPr>
        <w:t>Segundo anillo.</w:t>
      </w:r>
      <w:r>
        <w:rPr>
          <w:rFonts w:ascii="Times New Roman" w:hAnsi="Times New Roman"/>
          <w:b w:val="0"/>
          <w:i w:val="0"/>
          <w:sz w:val="24"/>
        </w:rPr>
        <w:t xml:space="preserve"> Significados y prácticas docentes sobre formación socioemocional, aunque no usen la palabra transversalidad.</w:t>
      </w:r>
    </w:p>
    <w:p>
      <w:pPr>
        <w:spacing w:after="120"/>
      </w:pPr>
      <w:r>
        <w:rPr>
          <w:rFonts w:ascii="Times New Roman" w:hAnsi="Times New Roman"/>
          <w:b w:val="0"/>
          <w:i w:val="0"/>
          <w:sz w:val="24"/>
        </w:rPr>
        <w:t xml:space="preserve">▸ </w:t>
      </w:r>
      <w:r>
        <w:rPr>
          <w:rFonts w:ascii="Times New Roman" w:hAnsi="Times New Roman"/>
          <w:b/>
          <w:i w:val="0"/>
          <w:sz w:val="24"/>
        </w:rPr>
        <w:t>Tercer anillo.</w:t>
      </w:r>
      <w:r>
        <w:rPr>
          <w:rFonts w:ascii="Times New Roman" w:hAnsi="Times New Roman"/>
          <w:b w:val="0"/>
          <w:i w:val="0"/>
          <w:sz w:val="24"/>
        </w:rPr>
        <w:t xml:space="preserve"> Formación integral, currículo y contexto rural, para sostener la pertinencia contextual.</w:t>
      </w:r>
    </w:p>
    <w:p>
      <w:pPr>
        <w:spacing w:after="120"/>
      </w:pPr>
      <w:r>
        <w:rPr>
          <w:rFonts w:ascii="Times New Roman" w:hAnsi="Times New Roman"/>
          <w:b/>
          <w:i w:val="0"/>
          <w:sz w:val="24"/>
        </w:rPr>
        <w:t>Ventana temporal.</w:t>
      </w:r>
      <w:r>
        <w:rPr>
          <w:rFonts w:ascii="Times New Roman" w:hAnsi="Times New Roman"/>
          <w:b w:val="0"/>
          <w:i w:val="0"/>
          <w:sz w:val="24"/>
        </w:rPr>
        <w:t xml:space="preserve"> 2021-2026, con énfasis en tesis doctorales, y con obras anteriores admitidas solo como referentes teóricos, no como antecedentes.</w:t>
      </w:r>
    </w:p>
    <w:p>
      <w:pPr>
        <w:spacing w:after="120"/>
      </w:pPr>
      <w:r>
        <w:rPr>
          <w:rFonts w:ascii="Times New Roman" w:hAnsi="Times New Roman"/>
          <w:b/>
          <w:i w:val="0"/>
          <w:sz w:val="24"/>
        </w:rPr>
        <w:t>Criterios de exclusión, y este es importante.</w:t>
      </w:r>
      <w:r>
        <w:rPr>
          <w:rFonts w:ascii="Times New Roman" w:hAnsi="Times New Roman"/>
          <w:b w:val="0"/>
          <w:i w:val="0"/>
          <w:sz w:val="24"/>
        </w:rPr>
        <w:t xml:space="preserve"> Quedan fuera los estudios centrados en la vivencia socioemocional de los estudiantes, en inclusión educativa o en necesidades educativas especiales. No porque sean malos, sino porque su objeto son las prácticas docentes y el currículo: incluirlos desdibujaría su delimitación y la acercaría a un terreno que ya está trabajado en su propio programa.</w:t>
      </w:r>
    </w:p>
    <w:p>
      <w:pPr>
        <w:spacing w:after="120"/>
      </w:pPr>
      <w:r>
        <w:rPr>
          <w:rFonts w:ascii="Times New Roman" w:hAnsi="Times New Roman"/>
          <w:b w:val="0"/>
          <w:i w:val="0"/>
          <w:sz w:val="24"/>
        </w:rPr>
        <w:t>Con esa regla, el estado del arte queda específico sin quedar corto, y usted puede defender cada inclusión y cada exclusión con un criterio, que es lo que un jurado pregunta.</w:t>
      </w:r>
    </w:p>
    <w:p>
      <w:pPr>
        <w:spacing w:after="120"/>
      </w:pPr>
      <w:r>
        <w:rPr>
          <w:rFonts w:ascii="Times New Roman" w:hAnsi="Times New Roman"/>
          <w:b w:val="0"/>
          <w:i w:val="0"/>
          <w:sz w:val="24"/>
        </w:rPr>
        <w:t>Dígame si le doy paso así y arranco el rastreo. Le entregaría la matriz con las fuentes verificadas —autor, año, universidad, título y enlace comprobado— organizadas por anillo; las seis dimensiones de análisis que pide la norma las llena usted al leer, porque son las que después defiende.</w:t>
      </w:r>
    </w:p>
    <w:p>
      <w:pPr>
        <w:spacing w:before="200" w:after="80"/>
      </w:pPr>
      <w:r>
        <w:rPr>
          <w:rFonts w:ascii="Times New Roman" w:hAnsi="Times New Roman"/>
          <w:b/>
          <w:color w:val="2E5A87"/>
          <w:sz w:val="26"/>
        </w:rPr>
        <w:t>SUSTENTACIÓN (solo para usted — borrar antes de compartir)</w:t>
      </w:r>
    </w:p>
    <w:p>
      <w:pPr>
        <w:spacing w:after="120"/>
      </w:pPr>
      <w:r>
        <w:rPr>
          <w:rFonts w:ascii="Times New Roman" w:hAnsi="Times New Roman"/>
          <w:b w:val="0"/>
          <w:i w:val="0"/>
          <w:sz w:val="24"/>
        </w:rPr>
        <w:t>Por qué la ética le quedó tan extensa. Porque su diseño tiene dos elementos que la mayoría de las propuestas no tiene: usted va a entrar al aula de colegas a observarlos, y va a haber estudiantes presentes que no son sus participantes. Un evaluador atento pregunta por las dos cosas. Declararlas por adelantado convierte una vulnerabilidad en una señal de rigor.</w:t>
      </w:r>
    </w:p>
    <w:p>
      <w:pPr>
        <w:spacing w:after="120"/>
      </w:pPr>
      <w:r>
        <w:rPr>
          <w:rFonts w:ascii="Times New Roman" w:hAnsi="Times New Roman"/>
          <w:b w:val="0"/>
          <w:i w:val="0"/>
          <w:sz w:val="24"/>
        </w:rPr>
        <w:t>Por qué insisto en la frase de que los registros no sirven para evaluar el desempeño. Porque de eso depende que los docentes hablen con confianza. Si sospechan que lo observado puede llegar a rectoría, usted no va a recoger prácticas: va a recoger clases actuadas.</w:t>
      </w:r>
    </w:p>
    <w:p>
      <w:pPr>
        <w:spacing w:after="120"/>
      </w:pPr>
      <w:r>
        <w:rPr>
          <w:rFonts w:ascii="Times New Roman" w:hAnsi="Times New Roman"/>
          <w:b w:val="0"/>
          <w:i w:val="0"/>
          <w:sz w:val="24"/>
        </w:rPr>
        <w:t>Sobre las proposiciones. Están redactadas como probabilidades y no como afirmaciones, y eso es deliberado: en investigación cualitativa una proposición que afirma se lee como hipótesis encubierta. Fíjese además en la tercera, la de la distancia entre lo declarado y lo practicado: está formulada como algo «productivo para comprender» y no como un déficit. Esa diferencia de tono es lo que separa una tesis comprensiva de una auditoría institucional.</w:t>
      </w:r>
    </w:p>
    <w:p>
      <w:pPr>
        <w:spacing w:after="120"/>
      </w:pPr>
      <w:r>
        <w:rPr>
          <w:rFonts w:ascii="Times New Roman" w:hAnsi="Times New Roman"/>
          <w:b w:val="0"/>
          <w:i w:val="0"/>
          <w:sz w:val="24"/>
        </w:rPr>
        <w:t>Sobre el alcance del estado del arte. La tentación de estrechar mucho es comprensible cuando a uno le han devuelto el trabajo varias veces, pero el mínimo de veinticinco de la norma es una barrera real. La regla de cruce de dos ejes le da las dos cosas: foco para defender y volumen para cumplir.</w:t>
      </w:r>
    </w:p>
    <w:sectPr w:rsidR="000609AD" w:rsidRPr="000609AD" w:rsidSect="007A169E">
      <w:headerReference w:type="default" r:id="rId6"/>
      <w:pgSz w:w="12240" w:h="15840" w:code="11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ADA66" w14:textId="77777777" w:rsidR="00F91641" w:rsidRDefault="00F91641" w:rsidP="007A169E">
      <w:pPr>
        <w:spacing w:after="0" w:line="240" w:lineRule="auto"/>
      </w:pPr>
      <w:r>
        <w:separator/>
      </w:r>
    </w:p>
  </w:endnote>
  <w:endnote w:type="continuationSeparator" w:id="0">
    <w:p w14:paraId="05CEBB8F" w14:textId="77777777" w:rsidR="00F91641" w:rsidRDefault="00F91641" w:rsidP="007A1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2D429" w14:textId="77777777" w:rsidR="00F91641" w:rsidRDefault="00F91641" w:rsidP="007A169E">
      <w:pPr>
        <w:spacing w:after="0" w:line="240" w:lineRule="auto"/>
      </w:pPr>
      <w:r>
        <w:separator/>
      </w:r>
    </w:p>
  </w:footnote>
  <w:footnote w:type="continuationSeparator" w:id="0">
    <w:p w14:paraId="27B54E1B" w14:textId="77777777" w:rsidR="00F91641" w:rsidRDefault="00F91641" w:rsidP="007A1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782406"/>
      <w:docPartObj>
        <w:docPartGallery w:val="Page Numbers (Top of Page)"/>
        <w:docPartUnique/>
      </w:docPartObj>
    </w:sdtPr>
    <w:sdtContent>
      <w:p w14:paraId="24817DE5" w14:textId="0D815608" w:rsidR="007A169E" w:rsidRDefault="007A169E">
        <w:pPr>
          <w:pStyle w:val="Encabezado"/>
          <w:jc w:val="right"/>
        </w:pPr>
        <w:r w:rsidRPr="007A169E">
          <w:rPr>
            <w:rFonts w:ascii="Times New Roman" w:eastAsia="Times New Roman" w:hAnsi="Times New Roman" w:cs="Times New Roman"/>
            <w:noProof/>
            <w:color w:val="000000"/>
            <w:lang w:eastAsia="es-CO"/>
          </w:rPr>
          <w:drawing>
            <wp:anchor distT="0" distB="0" distL="114300" distR="114300" simplePos="0" relativeHeight="251659264" behindDoc="0" locked="0" layoutInCell="1" allowOverlap="1" wp14:anchorId="35CE3577" wp14:editId="496654B9">
              <wp:simplePos x="0" y="0"/>
              <wp:positionH relativeFrom="page">
                <wp:align>right</wp:align>
              </wp:positionH>
              <wp:positionV relativeFrom="paragraph">
                <wp:posOffset>-450215</wp:posOffset>
              </wp:positionV>
              <wp:extent cx="7771766" cy="886460"/>
              <wp:effectExtent l="0" t="0" r="635" b="8890"/>
              <wp:wrapNone/>
              <wp:docPr id="2883" name="Picture 2883"/>
              <wp:cNvGraphicFramePr/>
              <a:graphic xmlns:a="http://schemas.openxmlformats.org/drawingml/2006/main">
                <a:graphicData uri="http://schemas.openxmlformats.org/drawingml/2006/picture">
                  <pic:pic xmlns:pic="http://schemas.openxmlformats.org/drawingml/2006/picture">
                    <pic:nvPicPr>
                      <pic:cNvPr id="2883" name="Picture 2883"/>
                      <pic:cNvPicPr/>
                    </pic:nvPicPr>
                    <pic:blipFill>
                      <a:blip r:embed="rId1"/>
                      <a:stretch>
                        <a:fillRect/>
                      </a:stretch>
                    </pic:blipFill>
                    <pic:spPr>
                      <a:xfrm>
                        <a:off x="0" y="0"/>
                        <a:ext cx="7771766" cy="886460"/>
                      </a:xfrm>
                      <a:prstGeom prst="rect">
                        <a:avLst/>
                      </a:prstGeom>
                    </pic:spPr>
                  </pic:pic>
                </a:graphicData>
              </a:graphic>
            </wp:anchor>
          </w:drawing>
        </w:r>
        <w:r>
          <w:fldChar w:fldCharType="begin"/>
        </w:r>
        <w:r>
          <w:instrText>PAGE   \* MERGEFORMAT</w:instrText>
        </w:r>
        <w:r>
          <w:fldChar w:fldCharType="separate"/>
        </w:r>
        <w:r>
          <w:rPr>
            <w:lang w:val="es-ES"/>
          </w:rPr>
          <w:t>2</w:t>
        </w:r>
        <w:r>
          <w:fldChar w:fldCharType="end"/>
        </w:r>
      </w:p>
    </w:sdtContent>
  </w:sdt>
  <w:p w14:paraId="244F663B" w14:textId="6537B0AB" w:rsidR="007A169E" w:rsidRDefault="007A169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10"/>
    <w:rsid w:val="000609AD"/>
    <w:rsid w:val="00345376"/>
    <w:rsid w:val="00367864"/>
    <w:rsid w:val="00766010"/>
    <w:rsid w:val="0078151B"/>
    <w:rsid w:val="007A169E"/>
    <w:rsid w:val="00991B6D"/>
    <w:rsid w:val="00AB2DAE"/>
    <w:rsid w:val="00F916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AD077"/>
  <w15:chartTrackingRefBased/>
  <w15:docId w15:val="{3D6C773A-2CBA-4783-A160-4CC9684D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6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6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60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60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60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60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60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60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60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60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60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60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60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60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60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60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60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6010"/>
    <w:rPr>
      <w:rFonts w:eastAsiaTheme="majorEastAsia" w:cstheme="majorBidi"/>
      <w:color w:val="272727" w:themeColor="text1" w:themeTint="D8"/>
    </w:rPr>
  </w:style>
  <w:style w:type="paragraph" w:styleId="Ttulo">
    <w:name w:val="Title"/>
    <w:basedOn w:val="Normal"/>
    <w:next w:val="Normal"/>
    <w:link w:val="TtuloCar"/>
    <w:uiPriority w:val="10"/>
    <w:qFormat/>
    <w:rsid w:val="00766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60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60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60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6010"/>
    <w:pPr>
      <w:spacing w:before="160"/>
      <w:jc w:val="center"/>
    </w:pPr>
    <w:rPr>
      <w:i/>
      <w:iCs/>
      <w:color w:val="404040" w:themeColor="text1" w:themeTint="BF"/>
    </w:rPr>
  </w:style>
  <w:style w:type="character" w:customStyle="1" w:styleId="CitaCar">
    <w:name w:val="Cita Car"/>
    <w:basedOn w:val="Fuentedeprrafopredeter"/>
    <w:link w:val="Cita"/>
    <w:uiPriority w:val="29"/>
    <w:rsid w:val="00766010"/>
    <w:rPr>
      <w:i/>
      <w:iCs/>
      <w:color w:val="404040" w:themeColor="text1" w:themeTint="BF"/>
    </w:rPr>
  </w:style>
  <w:style w:type="paragraph" w:styleId="Prrafodelista">
    <w:name w:val="List Paragraph"/>
    <w:basedOn w:val="Normal"/>
    <w:uiPriority w:val="34"/>
    <w:qFormat/>
    <w:rsid w:val="00766010"/>
    <w:pPr>
      <w:ind w:left="720"/>
      <w:contextualSpacing/>
    </w:pPr>
  </w:style>
  <w:style w:type="character" w:styleId="nfasisintenso">
    <w:name w:val="Intense Emphasis"/>
    <w:basedOn w:val="Fuentedeprrafopredeter"/>
    <w:uiPriority w:val="21"/>
    <w:qFormat/>
    <w:rsid w:val="00766010"/>
    <w:rPr>
      <w:i/>
      <w:iCs/>
      <w:color w:val="0F4761" w:themeColor="accent1" w:themeShade="BF"/>
    </w:rPr>
  </w:style>
  <w:style w:type="paragraph" w:styleId="Citadestacada">
    <w:name w:val="Intense Quote"/>
    <w:basedOn w:val="Normal"/>
    <w:next w:val="Normal"/>
    <w:link w:val="CitadestacadaCar"/>
    <w:uiPriority w:val="30"/>
    <w:qFormat/>
    <w:rsid w:val="00766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6010"/>
    <w:rPr>
      <w:i/>
      <w:iCs/>
      <w:color w:val="0F4761" w:themeColor="accent1" w:themeShade="BF"/>
    </w:rPr>
  </w:style>
  <w:style w:type="character" w:styleId="Referenciaintensa">
    <w:name w:val="Intense Reference"/>
    <w:basedOn w:val="Fuentedeprrafopredeter"/>
    <w:uiPriority w:val="32"/>
    <w:qFormat/>
    <w:rsid w:val="00766010"/>
    <w:rPr>
      <w:b/>
      <w:bCs/>
      <w:smallCaps/>
      <w:color w:val="0F4761" w:themeColor="accent1" w:themeShade="BF"/>
      <w:spacing w:val="5"/>
    </w:rPr>
  </w:style>
  <w:style w:type="paragraph" w:styleId="Encabezado">
    <w:name w:val="header"/>
    <w:basedOn w:val="Normal"/>
    <w:link w:val="EncabezadoCar"/>
    <w:uiPriority w:val="99"/>
    <w:unhideWhenUsed/>
    <w:rsid w:val="007A16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169E"/>
  </w:style>
  <w:style w:type="paragraph" w:styleId="Piedepgina">
    <w:name w:val="footer"/>
    <w:basedOn w:val="Normal"/>
    <w:link w:val="PiedepginaCar"/>
    <w:uiPriority w:val="99"/>
    <w:unhideWhenUsed/>
    <w:rsid w:val="007A16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1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21</Pages>
  <Words>6480</Words>
  <Characters>35643</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delsy segura</dc:creator>
  <cp:keywords/>
  <dc:description/>
  <cp:lastModifiedBy>delsy segura</cp:lastModifiedBy>
  <cp:revision>2</cp:revision>
  <dcterms:created xsi:type="dcterms:W3CDTF">2026-08-07T08:23:00Z</dcterms:created>
  <dcterms:modified xsi:type="dcterms:W3CDTF">2026-08-07T09:14:00Z</dcterms:modified>
</cp:coreProperties>
</file>